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D2B" w:rsidRDefault="00944D2B" w:rsidP="00944D2B">
      <w:r>
        <w:t xml:space="preserve">                                                                          </w:t>
      </w:r>
      <w:bookmarkStart w:id="0" w:name="_GoBack"/>
      <w:bookmarkEnd w:id="0"/>
      <w:proofErr w:type="spellStart"/>
      <w:r>
        <w:t>Нац</w:t>
      </w:r>
      <w:proofErr w:type="spellEnd"/>
      <w:r>
        <w:rPr>
          <w:lang w:val="uk-UA"/>
        </w:rPr>
        <w:t>і</w:t>
      </w:r>
      <w:proofErr w:type="spellStart"/>
      <w:r>
        <w:t>онально</w:t>
      </w:r>
      <w:proofErr w:type="spellEnd"/>
      <w:r>
        <w:rPr>
          <w:lang w:val="uk-UA"/>
        </w:rPr>
        <w:t>ї</w:t>
      </w:r>
      <w:r>
        <w:t xml:space="preserve">                       </w:t>
      </w:r>
    </w:p>
    <w:p w:rsidR="00944D2B" w:rsidRDefault="00944D2B" w:rsidP="00944D2B">
      <w:pPr>
        <w:tabs>
          <w:tab w:val="left" w:pos="3480"/>
        </w:tabs>
        <w:rPr>
          <w:lang w:val="uk-UA"/>
        </w:rPr>
      </w:pPr>
      <w:r>
        <w:tab/>
      </w:r>
      <w:r>
        <w:rPr>
          <w:lang w:val="uk-UA"/>
        </w:rPr>
        <w:t xml:space="preserve">                 комісії з цінних паперів та фондового ринку»</w:t>
      </w:r>
    </w:p>
    <w:p w:rsidR="00944D2B" w:rsidRDefault="00944D2B" w:rsidP="00944D2B">
      <w:pPr>
        <w:rPr>
          <w:lang w:val="uk-UA"/>
        </w:rPr>
      </w:pPr>
    </w:p>
    <w:p w:rsidR="00944D2B" w:rsidRDefault="00944D2B" w:rsidP="00944D2B">
      <w:pPr>
        <w:jc w:val="center"/>
        <w:rPr>
          <w:lang w:val="uk-UA"/>
        </w:rPr>
      </w:pPr>
      <w:r>
        <w:rPr>
          <w:lang w:val="uk-UA"/>
        </w:rPr>
        <w:t xml:space="preserve">                                                                        вул. </w:t>
      </w:r>
      <w:proofErr w:type="spellStart"/>
      <w:r>
        <w:rPr>
          <w:lang w:val="uk-UA"/>
        </w:rPr>
        <w:t>Попудренка</w:t>
      </w:r>
      <w:proofErr w:type="spellEnd"/>
      <w:r>
        <w:rPr>
          <w:lang w:val="uk-UA"/>
        </w:rPr>
        <w:t xml:space="preserve">, буд. 52,7-й поверх,  </w:t>
      </w:r>
      <w:proofErr w:type="spellStart"/>
      <w:r>
        <w:rPr>
          <w:lang w:val="uk-UA"/>
        </w:rPr>
        <w:t>оф</w:t>
      </w:r>
      <w:proofErr w:type="spellEnd"/>
      <w:r>
        <w:rPr>
          <w:lang w:val="uk-UA"/>
        </w:rPr>
        <w:t>. 701,</w:t>
      </w:r>
    </w:p>
    <w:p w:rsidR="00944D2B" w:rsidRDefault="00944D2B" w:rsidP="00944D2B">
      <w:pPr>
        <w:jc w:val="center"/>
        <w:rPr>
          <w:lang w:val="uk-UA"/>
        </w:rPr>
      </w:pPr>
      <w:r>
        <w:rPr>
          <w:lang w:val="uk-UA"/>
        </w:rPr>
        <w:t xml:space="preserve">                  м , Київ, 02660</w:t>
      </w:r>
    </w:p>
    <w:p w:rsidR="00944D2B" w:rsidRPr="00227FFD" w:rsidRDefault="00944D2B" w:rsidP="00944D2B">
      <w:pPr>
        <w:rPr>
          <w:lang w:val="uk-UA"/>
        </w:rPr>
      </w:pPr>
    </w:p>
    <w:p w:rsidR="00944D2B" w:rsidRPr="00227FFD" w:rsidRDefault="00944D2B" w:rsidP="00944D2B">
      <w:pPr>
        <w:rPr>
          <w:lang w:val="uk-UA"/>
        </w:rPr>
      </w:pPr>
    </w:p>
    <w:p w:rsidR="00944D2B" w:rsidRDefault="00944D2B" w:rsidP="00944D2B">
      <w:pPr>
        <w:rPr>
          <w:lang w:val="uk-UA"/>
        </w:rPr>
      </w:pPr>
    </w:p>
    <w:p w:rsidR="00944D2B" w:rsidRPr="00227FFD" w:rsidRDefault="00944D2B" w:rsidP="00944D2B">
      <w:pPr>
        <w:tabs>
          <w:tab w:val="left" w:pos="3315"/>
        </w:tabs>
        <w:rPr>
          <w:sz w:val="28"/>
          <w:szCs w:val="28"/>
          <w:lang w:val="uk-UA"/>
        </w:rPr>
      </w:pPr>
      <w:r>
        <w:rPr>
          <w:lang w:val="uk-UA"/>
        </w:rPr>
        <w:tab/>
      </w:r>
      <w:r w:rsidRPr="00227FFD">
        <w:rPr>
          <w:sz w:val="28"/>
          <w:szCs w:val="28"/>
          <w:lang w:val="uk-UA"/>
        </w:rPr>
        <w:t>Заявка</w:t>
      </w:r>
    </w:p>
    <w:p w:rsidR="00944D2B" w:rsidRPr="00227FFD" w:rsidRDefault="00944D2B" w:rsidP="00944D2B">
      <w:pPr>
        <w:rPr>
          <w:lang w:val="uk-UA"/>
        </w:rPr>
      </w:pPr>
    </w:p>
    <w:p w:rsidR="00944D2B" w:rsidRPr="00227FFD" w:rsidRDefault="00944D2B" w:rsidP="00944D2B">
      <w:pPr>
        <w:ind w:left="-180" w:firstLine="180"/>
        <w:rPr>
          <w:sz w:val="28"/>
          <w:szCs w:val="28"/>
          <w:lang w:val="uk-UA"/>
        </w:rPr>
      </w:pPr>
      <w:r w:rsidRPr="00227FFD">
        <w:rPr>
          <w:sz w:val="28"/>
          <w:szCs w:val="28"/>
          <w:lang w:val="uk-UA"/>
        </w:rPr>
        <w:t>Просимо опублікувати у найближчому номері інформацію наступного змісту:</w:t>
      </w:r>
    </w:p>
    <w:p w:rsidR="00944D2B" w:rsidRPr="00227FFD" w:rsidRDefault="00944D2B" w:rsidP="00944D2B">
      <w:pPr>
        <w:rPr>
          <w:sz w:val="28"/>
          <w:szCs w:val="28"/>
          <w:lang w:val="uk-UA"/>
        </w:rPr>
      </w:pPr>
    </w:p>
    <w:p w:rsidR="00944D2B" w:rsidRPr="00227FFD" w:rsidRDefault="00944D2B" w:rsidP="00944D2B">
      <w:pPr>
        <w:ind w:firstLine="708"/>
        <w:jc w:val="both"/>
        <w:rPr>
          <w:b/>
          <w:lang w:val="uk-UA"/>
        </w:rPr>
      </w:pPr>
      <w:r w:rsidRPr="00227FFD">
        <w:rPr>
          <w:b/>
          <w:lang w:val="uk-UA"/>
        </w:rPr>
        <w:t>« Публічне акціонерне товариство «</w:t>
      </w:r>
      <w:proofErr w:type="spellStart"/>
      <w:r w:rsidRPr="00227FFD">
        <w:rPr>
          <w:b/>
          <w:lang w:val="uk-UA"/>
        </w:rPr>
        <w:t>Чернігівагроавтосервіс</w:t>
      </w:r>
      <w:proofErr w:type="spellEnd"/>
      <w:r w:rsidRPr="00227FFD">
        <w:rPr>
          <w:b/>
          <w:lang w:val="uk-UA"/>
        </w:rPr>
        <w:t>»</w:t>
      </w:r>
    </w:p>
    <w:p w:rsidR="00944D2B" w:rsidRDefault="00944D2B" w:rsidP="00944D2B">
      <w:pPr>
        <w:jc w:val="both"/>
        <w:rPr>
          <w:lang w:val="uk-UA"/>
        </w:rPr>
      </w:pPr>
      <w:r>
        <w:rPr>
          <w:lang w:val="uk-UA"/>
        </w:rPr>
        <w:t xml:space="preserve"> </w:t>
      </w:r>
      <w:r w:rsidRPr="00227FFD">
        <w:rPr>
          <w:lang w:val="uk-UA"/>
        </w:rPr>
        <w:t>( код за ЄДРПОУ</w:t>
      </w:r>
      <w:r>
        <w:rPr>
          <w:lang w:val="uk-UA"/>
        </w:rPr>
        <w:t xml:space="preserve"> 00450950, місцезнаходження: вул. </w:t>
      </w:r>
      <w:proofErr w:type="spellStart"/>
      <w:r>
        <w:rPr>
          <w:lang w:val="uk-UA"/>
        </w:rPr>
        <w:t>Бєлова</w:t>
      </w:r>
      <w:proofErr w:type="spellEnd"/>
      <w:r>
        <w:rPr>
          <w:lang w:val="uk-UA"/>
        </w:rPr>
        <w:t xml:space="preserve">, буд. </w:t>
      </w:r>
      <w:smartTag w:uri="urn:schemas-microsoft-com:office:smarttags" w:element="metricconverter">
        <w:smartTagPr>
          <w:attr w:name="ProductID" w:val="7, м"/>
        </w:smartTagPr>
        <w:r>
          <w:rPr>
            <w:lang w:val="uk-UA"/>
          </w:rPr>
          <w:t>7, м</w:t>
        </w:r>
      </w:smartTag>
      <w:r>
        <w:rPr>
          <w:lang w:val="uk-UA"/>
        </w:rPr>
        <w:t>. Чернігів,14032)</w:t>
      </w:r>
      <w:r w:rsidRPr="00227FFD">
        <w:rPr>
          <w:lang w:val="uk-UA"/>
        </w:rPr>
        <w:t xml:space="preserve"> </w:t>
      </w:r>
    </w:p>
    <w:p w:rsidR="00944D2B" w:rsidRDefault="00944D2B" w:rsidP="00944D2B">
      <w:pPr>
        <w:jc w:val="both"/>
        <w:rPr>
          <w:lang w:val="uk-UA"/>
        </w:rPr>
      </w:pPr>
      <w:r>
        <w:rPr>
          <w:lang w:val="uk-UA"/>
        </w:rPr>
        <w:t xml:space="preserve">повідомляє про проведення чергових загальних зборів акціонерів 29 квітня 2015 року об       11 :00 годині за адресою: вул. </w:t>
      </w:r>
      <w:proofErr w:type="spellStart"/>
      <w:r>
        <w:rPr>
          <w:lang w:val="uk-UA"/>
        </w:rPr>
        <w:t>Бєлова</w:t>
      </w:r>
      <w:proofErr w:type="spellEnd"/>
      <w:r>
        <w:rPr>
          <w:lang w:val="uk-UA"/>
        </w:rPr>
        <w:t xml:space="preserve">, буд. </w:t>
      </w:r>
      <w:smartTag w:uri="urn:schemas-microsoft-com:office:smarttags" w:element="metricconverter">
        <w:smartTagPr>
          <w:attr w:name="ProductID" w:val="7, м"/>
        </w:smartTagPr>
        <w:r>
          <w:rPr>
            <w:lang w:val="uk-UA"/>
          </w:rPr>
          <w:t>7, м</w:t>
        </w:r>
      </w:smartTag>
      <w:r>
        <w:rPr>
          <w:lang w:val="uk-UA"/>
        </w:rPr>
        <w:t>. Чернігів, 14032 ( актовий зал на 1 поверсі).</w:t>
      </w:r>
    </w:p>
    <w:p w:rsidR="00944D2B" w:rsidRDefault="00944D2B" w:rsidP="00944D2B">
      <w:pPr>
        <w:jc w:val="both"/>
        <w:rPr>
          <w:lang w:val="uk-UA"/>
        </w:rPr>
      </w:pPr>
      <w:r>
        <w:rPr>
          <w:lang w:val="uk-UA"/>
        </w:rPr>
        <w:t>Реєстрація акціонерів (їх представників) для участі у зборах буде проводитись 29 квітня 2015 року з 10 :00 до 10:45 за місцем проведення загальних зборів, Для реєстрації акціонеру необхідно мати документ, що посвідчує особу, а представнику акціонера – також довіреність, оформлену відповідно до чинного законодавства. Представнику юридичної особи, який діє без довіреності від її імені , необхідно мати також документ, що підтверджує обрання (призначення) його на посаду, та установчий документ юридичної особи, що містить інформацію про посадових осіб, які мають право діяти від її імені без довіреності. Дата складання переліку акціонерів, які мають право на участь у зборах: 22 квітня 2015 року.</w:t>
      </w:r>
    </w:p>
    <w:p w:rsidR="00944D2B" w:rsidRDefault="00944D2B" w:rsidP="00944D2B">
      <w:pPr>
        <w:tabs>
          <w:tab w:val="left" w:pos="1215"/>
        </w:tabs>
        <w:jc w:val="both"/>
        <w:rPr>
          <w:lang w:val="uk-UA"/>
        </w:rPr>
      </w:pPr>
      <w:r>
        <w:rPr>
          <w:lang w:val="uk-UA"/>
        </w:rPr>
        <w:tab/>
        <w:t>Перелік питань, що виносяться на голосування (порядок денний):</w:t>
      </w:r>
    </w:p>
    <w:p w:rsidR="00944D2B" w:rsidRDefault="00944D2B" w:rsidP="00944D2B">
      <w:pPr>
        <w:tabs>
          <w:tab w:val="left" w:pos="1875"/>
        </w:tabs>
        <w:jc w:val="both"/>
        <w:rPr>
          <w:lang w:val="uk-UA"/>
        </w:rPr>
      </w:pPr>
      <w:r>
        <w:rPr>
          <w:lang w:val="uk-UA"/>
        </w:rPr>
        <w:t xml:space="preserve">         1. Обрання членів лічильної комісії, включаючи голову.  Обрання головуючого та секретаря загальних зборів, затвердження регламенту загальних зборів. Прийняття рішення за наслідками розгляду звіту Наглядової ради за 2015 рік.  Прийняття рішення   за наслідками  розгляду звіту Директора за 2015 рік.                                                                                                                                                      Прийняття рішення за наслідками розгляду звіту Ревізійної комісії за 2015 рік. Затвердження висновку Ревізійної комісії  за підсумками перевірки фінансово – господарської діяльності товариства за 2015 рік. Затвердження річного звіту (річної фінансової звітності) товариства за 2015 рік. Розподіл (покриття) збитків за результатами діяльності товариства за 2015 рік. Прийняття рішення про припинення повноважень членів Ревізійної комісії. Визначення кількості складу Ревізійної комісії. Обрання членів Ревізійної комісії.   Про попереднє схвалення значних правочинів товариства.</w:t>
      </w:r>
    </w:p>
    <w:p w:rsidR="00944D2B" w:rsidRDefault="00944D2B" w:rsidP="00944D2B">
      <w:pPr>
        <w:ind w:firstLine="708"/>
        <w:jc w:val="both"/>
        <w:rPr>
          <w:lang w:val="uk-UA"/>
        </w:rPr>
      </w:pPr>
      <w:r>
        <w:rPr>
          <w:lang w:val="uk-UA"/>
        </w:rPr>
        <w:t xml:space="preserve">Під час підготовки до загальних зборів акціонери та їх представники можуть ознайомитись з матеріалами (документами), необхідними для прийняття рішень з питань порядку денного за адресою: вул. </w:t>
      </w:r>
      <w:proofErr w:type="spellStart"/>
      <w:r>
        <w:rPr>
          <w:lang w:val="uk-UA"/>
        </w:rPr>
        <w:t>Бєлова</w:t>
      </w:r>
      <w:proofErr w:type="spellEnd"/>
      <w:r>
        <w:rPr>
          <w:lang w:val="uk-UA"/>
        </w:rPr>
        <w:t xml:space="preserve">, буд. </w:t>
      </w:r>
      <w:smartTag w:uri="urn:schemas-microsoft-com:office:smarttags" w:element="metricconverter">
        <w:smartTagPr>
          <w:attr w:name="ProductID" w:val="7, м"/>
        </w:smartTagPr>
        <w:r>
          <w:rPr>
            <w:lang w:val="uk-UA"/>
          </w:rPr>
          <w:t>7, м</w:t>
        </w:r>
      </w:smartTag>
      <w:r>
        <w:rPr>
          <w:lang w:val="uk-UA"/>
        </w:rPr>
        <w:t xml:space="preserve">. Чернігів, 14032 (кабінет директора) у робочі дні з 09:00 до 12:00, В день проведення зборів акціонери та їх представники можуть  ознайомитись з документами, необхідними для прийняття рішень з питань порядку денного , в місці проведення зборів. Відповідальна посадова особа за порядок ознайомлення акціонерів з документами : директор Глиняний Олександр Іванович,                        тел., ( 4622) 3-31-46. </w:t>
      </w:r>
    </w:p>
    <w:p w:rsidR="00944D2B" w:rsidRPr="009616FC" w:rsidRDefault="00944D2B" w:rsidP="00944D2B">
      <w:pPr>
        <w:jc w:val="both"/>
        <w:rPr>
          <w:lang w:val="uk-UA"/>
        </w:rPr>
      </w:pPr>
    </w:p>
    <w:p w:rsidR="00944D2B" w:rsidRDefault="00944D2B" w:rsidP="00944D2B">
      <w:pPr>
        <w:jc w:val="both"/>
        <w:rPr>
          <w:lang w:val="uk-UA"/>
        </w:rPr>
      </w:pPr>
    </w:p>
    <w:p w:rsidR="00944D2B" w:rsidRDefault="00944D2B" w:rsidP="00944D2B">
      <w:pPr>
        <w:rPr>
          <w:lang w:val="uk-UA"/>
        </w:rPr>
      </w:pPr>
    </w:p>
    <w:p w:rsidR="00944D2B" w:rsidRDefault="00944D2B" w:rsidP="00944D2B">
      <w:pPr>
        <w:rPr>
          <w:lang w:val="uk-UA"/>
        </w:rPr>
      </w:pPr>
    </w:p>
    <w:p w:rsidR="00944D2B" w:rsidRDefault="00944D2B" w:rsidP="00944D2B">
      <w:pPr>
        <w:rPr>
          <w:lang w:val="uk-UA"/>
        </w:rPr>
      </w:pPr>
    </w:p>
    <w:p w:rsidR="00944D2B" w:rsidRDefault="00944D2B" w:rsidP="00944D2B">
      <w:pPr>
        <w:rPr>
          <w:lang w:val="uk-UA"/>
        </w:rPr>
      </w:pPr>
    </w:p>
    <w:p w:rsidR="00944D2B" w:rsidRDefault="00944D2B" w:rsidP="00944D2B">
      <w:pPr>
        <w:rPr>
          <w:lang w:val="uk-UA"/>
        </w:rPr>
      </w:pPr>
    </w:p>
    <w:p w:rsidR="00944D2B" w:rsidRDefault="00944D2B" w:rsidP="00944D2B">
      <w:pPr>
        <w:rPr>
          <w:lang w:val="uk-UA"/>
        </w:rPr>
      </w:pPr>
    </w:p>
    <w:p w:rsidR="00944D2B" w:rsidRDefault="00944D2B" w:rsidP="00944D2B">
      <w:pPr>
        <w:rPr>
          <w:lang w:val="uk-UA"/>
        </w:rPr>
      </w:pPr>
    </w:p>
    <w:p w:rsidR="00944D2B" w:rsidRPr="009616FC" w:rsidRDefault="00944D2B" w:rsidP="00944D2B">
      <w:pPr>
        <w:rPr>
          <w:lang w:val="uk-UA"/>
        </w:rPr>
      </w:pPr>
      <w:r>
        <w:rPr>
          <w:lang w:val="uk-UA"/>
        </w:rPr>
        <w:t>Основні показники фінансово-господарської діяльності підприємства (</w:t>
      </w:r>
      <w:proofErr w:type="spellStart"/>
      <w:r>
        <w:rPr>
          <w:lang w:val="uk-UA"/>
        </w:rPr>
        <w:t>тис.грн</w:t>
      </w:r>
      <w:proofErr w:type="spellEnd"/>
      <w:r>
        <w:rPr>
          <w:lang w:val="uk-UA"/>
        </w:rPr>
        <w:t>.)</w:t>
      </w:r>
    </w:p>
    <w:tbl>
      <w:tblPr>
        <w:tblpPr w:leftFromText="180" w:rightFromText="180" w:horzAnchor="margin" w:tblpY="1254"/>
        <w:tblW w:w="9700" w:type="dxa"/>
        <w:tblLook w:val="0000" w:firstRow="0" w:lastRow="0" w:firstColumn="0" w:lastColumn="0" w:noHBand="0" w:noVBand="0"/>
      </w:tblPr>
      <w:tblGrid>
        <w:gridCol w:w="6260"/>
        <w:gridCol w:w="1760"/>
        <w:gridCol w:w="1680"/>
      </w:tblGrid>
      <w:tr w:rsidR="00944D2B" w:rsidTr="007F482E">
        <w:trPr>
          <w:trHeight w:val="315"/>
        </w:trPr>
        <w:tc>
          <w:tcPr>
            <w:tcW w:w="6260" w:type="dxa"/>
            <w:tcBorders>
              <w:top w:val="nil"/>
              <w:left w:val="nil"/>
              <w:bottom w:val="nil"/>
              <w:right w:val="nil"/>
            </w:tcBorders>
            <w:shd w:val="clear" w:color="auto" w:fill="auto"/>
            <w:noWrap/>
            <w:vAlign w:val="bottom"/>
          </w:tcPr>
          <w:p w:rsidR="00944D2B" w:rsidRDefault="00944D2B" w:rsidP="007F482E">
            <w:pPr>
              <w:jc w:val="center"/>
            </w:pPr>
            <w:proofErr w:type="spellStart"/>
            <w:r>
              <w:t>найменування</w:t>
            </w:r>
            <w:proofErr w:type="spellEnd"/>
            <w:r>
              <w:t xml:space="preserve"> </w:t>
            </w:r>
            <w:proofErr w:type="spellStart"/>
            <w:r>
              <w:t>показника</w:t>
            </w:r>
            <w:proofErr w:type="spellEnd"/>
          </w:p>
        </w:tc>
        <w:tc>
          <w:tcPr>
            <w:tcW w:w="1760" w:type="dxa"/>
            <w:tcBorders>
              <w:top w:val="nil"/>
              <w:left w:val="single" w:sz="4" w:space="0" w:color="auto"/>
              <w:bottom w:val="single" w:sz="4" w:space="0" w:color="auto"/>
              <w:right w:val="single" w:sz="4" w:space="0" w:color="auto"/>
            </w:tcBorders>
            <w:shd w:val="clear" w:color="auto" w:fill="auto"/>
          </w:tcPr>
          <w:p w:rsidR="00944D2B" w:rsidRDefault="00944D2B" w:rsidP="007F482E">
            <w:pPr>
              <w:jc w:val="center"/>
            </w:pPr>
            <w:r>
              <w:t xml:space="preserve">2014 </w:t>
            </w:r>
            <w:proofErr w:type="spellStart"/>
            <w:proofErr w:type="gramStart"/>
            <w:r>
              <w:t>р</w:t>
            </w:r>
            <w:proofErr w:type="gramEnd"/>
            <w:r>
              <w:t>ік</w:t>
            </w:r>
            <w:proofErr w:type="spellEnd"/>
          </w:p>
        </w:tc>
        <w:tc>
          <w:tcPr>
            <w:tcW w:w="1680" w:type="dxa"/>
            <w:tcBorders>
              <w:top w:val="nil"/>
              <w:left w:val="nil"/>
              <w:bottom w:val="single" w:sz="4" w:space="0" w:color="auto"/>
              <w:right w:val="single" w:sz="4" w:space="0" w:color="auto"/>
            </w:tcBorders>
            <w:shd w:val="clear" w:color="auto" w:fill="auto"/>
          </w:tcPr>
          <w:p w:rsidR="00944D2B" w:rsidRDefault="00944D2B" w:rsidP="007F482E">
            <w:pPr>
              <w:jc w:val="center"/>
            </w:pPr>
            <w:r>
              <w:t xml:space="preserve">2013 </w:t>
            </w:r>
            <w:proofErr w:type="spellStart"/>
            <w:proofErr w:type="gramStart"/>
            <w:r>
              <w:t>р</w:t>
            </w:r>
            <w:proofErr w:type="gramEnd"/>
            <w:r>
              <w:t>ік</w:t>
            </w:r>
            <w:proofErr w:type="spellEnd"/>
          </w:p>
        </w:tc>
      </w:tr>
      <w:tr w:rsidR="00944D2B" w:rsidTr="007F482E">
        <w:trPr>
          <w:trHeight w:val="315"/>
        </w:trPr>
        <w:tc>
          <w:tcPr>
            <w:tcW w:w="6260" w:type="dxa"/>
            <w:tcBorders>
              <w:top w:val="single" w:sz="4" w:space="0" w:color="auto"/>
              <w:left w:val="single" w:sz="4" w:space="0" w:color="auto"/>
              <w:bottom w:val="single" w:sz="4" w:space="0" w:color="auto"/>
              <w:right w:val="single" w:sz="4" w:space="0" w:color="auto"/>
            </w:tcBorders>
            <w:shd w:val="clear" w:color="auto" w:fill="auto"/>
          </w:tcPr>
          <w:p w:rsidR="00944D2B" w:rsidRDefault="00944D2B" w:rsidP="007F482E">
            <w:proofErr w:type="spellStart"/>
            <w:r>
              <w:t>Усього</w:t>
            </w:r>
            <w:proofErr w:type="spellEnd"/>
            <w:r>
              <w:t xml:space="preserve"> </w:t>
            </w:r>
            <w:proofErr w:type="spellStart"/>
            <w:r>
              <w:t>активі</w:t>
            </w:r>
            <w:proofErr w:type="gramStart"/>
            <w:r>
              <w:t>в</w:t>
            </w:r>
            <w:proofErr w:type="spellEnd"/>
            <w:proofErr w:type="gramEnd"/>
          </w:p>
        </w:tc>
        <w:tc>
          <w:tcPr>
            <w:tcW w:w="1760" w:type="dxa"/>
            <w:tcBorders>
              <w:top w:val="nil"/>
              <w:left w:val="nil"/>
              <w:bottom w:val="single" w:sz="4" w:space="0" w:color="auto"/>
              <w:right w:val="single" w:sz="4" w:space="0" w:color="auto"/>
            </w:tcBorders>
            <w:shd w:val="clear" w:color="auto" w:fill="auto"/>
          </w:tcPr>
          <w:p w:rsidR="00944D2B" w:rsidRDefault="00944D2B" w:rsidP="007F482E">
            <w:pPr>
              <w:jc w:val="right"/>
            </w:pPr>
            <w:r>
              <w:t>480,2 </w:t>
            </w:r>
          </w:p>
        </w:tc>
        <w:tc>
          <w:tcPr>
            <w:tcW w:w="1680" w:type="dxa"/>
            <w:tcBorders>
              <w:top w:val="nil"/>
              <w:left w:val="nil"/>
              <w:bottom w:val="single" w:sz="4" w:space="0" w:color="auto"/>
              <w:right w:val="single" w:sz="4" w:space="0" w:color="auto"/>
            </w:tcBorders>
            <w:shd w:val="clear" w:color="auto" w:fill="auto"/>
          </w:tcPr>
          <w:p w:rsidR="00944D2B" w:rsidRDefault="00944D2B" w:rsidP="007F482E">
            <w:pPr>
              <w:jc w:val="right"/>
            </w:pPr>
            <w:r>
              <w:t>703,2</w:t>
            </w:r>
          </w:p>
          <w:p w:rsidR="00944D2B" w:rsidRDefault="00944D2B" w:rsidP="007F482E">
            <w:pPr>
              <w:jc w:val="right"/>
            </w:pPr>
            <w:r>
              <w:t> </w:t>
            </w:r>
          </w:p>
        </w:tc>
      </w:tr>
      <w:tr w:rsidR="00944D2B" w:rsidTr="007F482E">
        <w:trPr>
          <w:trHeight w:val="539"/>
        </w:trPr>
        <w:tc>
          <w:tcPr>
            <w:tcW w:w="6260" w:type="dxa"/>
            <w:tcBorders>
              <w:top w:val="nil"/>
              <w:left w:val="single" w:sz="4" w:space="0" w:color="auto"/>
              <w:bottom w:val="single" w:sz="4" w:space="0" w:color="auto"/>
              <w:right w:val="single" w:sz="4" w:space="0" w:color="auto"/>
            </w:tcBorders>
            <w:shd w:val="clear" w:color="auto" w:fill="auto"/>
          </w:tcPr>
          <w:p w:rsidR="00944D2B" w:rsidRDefault="00944D2B" w:rsidP="007F482E">
            <w:proofErr w:type="spellStart"/>
            <w:r>
              <w:t>Основні</w:t>
            </w:r>
            <w:proofErr w:type="spellEnd"/>
            <w:r>
              <w:t xml:space="preserve"> </w:t>
            </w:r>
            <w:proofErr w:type="spellStart"/>
            <w:r>
              <w:t>засоби</w:t>
            </w:r>
            <w:proofErr w:type="spellEnd"/>
          </w:p>
        </w:tc>
        <w:tc>
          <w:tcPr>
            <w:tcW w:w="1760" w:type="dxa"/>
            <w:tcBorders>
              <w:top w:val="nil"/>
              <w:left w:val="nil"/>
              <w:bottom w:val="single" w:sz="4" w:space="0" w:color="auto"/>
              <w:right w:val="single" w:sz="4" w:space="0" w:color="auto"/>
            </w:tcBorders>
            <w:shd w:val="clear" w:color="auto" w:fill="auto"/>
          </w:tcPr>
          <w:p w:rsidR="00944D2B" w:rsidRDefault="00944D2B" w:rsidP="007F482E">
            <w:pPr>
              <w:jc w:val="right"/>
            </w:pPr>
            <w:r>
              <w:t>357,1</w:t>
            </w:r>
          </w:p>
          <w:p w:rsidR="00944D2B" w:rsidRDefault="00944D2B" w:rsidP="007F482E">
            <w:pPr>
              <w:jc w:val="right"/>
            </w:pPr>
          </w:p>
          <w:p w:rsidR="00944D2B" w:rsidRDefault="00944D2B" w:rsidP="007F482E">
            <w:pPr>
              <w:jc w:val="right"/>
            </w:pPr>
          </w:p>
        </w:tc>
        <w:tc>
          <w:tcPr>
            <w:tcW w:w="1680" w:type="dxa"/>
            <w:tcBorders>
              <w:top w:val="nil"/>
              <w:left w:val="nil"/>
              <w:bottom w:val="single" w:sz="4" w:space="0" w:color="auto"/>
              <w:right w:val="single" w:sz="4" w:space="0" w:color="auto"/>
            </w:tcBorders>
            <w:shd w:val="clear" w:color="auto" w:fill="auto"/>
          </w:tcPr>
          <w:p w:rsidR="00944D2B" w:rsidRDefault="00944D2B" w:rsidP="007F482E">
            <w:pPr>
              <w:jc w:val="right"/>
            </w:pPr>
            <w:r>
              <w:t>621,5 </w:t>
            </w:r>
          </w:p>
        </w:tc>
      </w:tr>
      <w:tr w:rsidR="00944D2B" w:rsidTr="007F482E">
        <w:trPr>
          <w:trHeight w:val="315"/>
        </w:trPr>
        <w:tc>
          <w:tcPr>
            <w:tcW w:w="6260" w:type="dxa"/>
            <w:tcBorders>
              <w:top w:val="nil"/>
              <w:left w:val="single" w:sz="4" w:space="0" w:color="auto"/>
              <w:bottom w:val="single" w:sz="4" w:space="0" w:color="auto"/>
              <w:right w:val="single" w:sz="4" w:space="0" w:color="auto"/>
            </w:tcBorders>
            <w:shd w:val="clear" w:color="auto" w:fill="auto"/>
          </w:tcPr>
          <w:p w:rsidR="00944D2B" w:rsidRDefault="00944D2B" w:rsidP="007F482E">
            <w:proofErr w:type="spellStart"/>
            <w:r>
              <w:t>Довгострокові</w:t>
            </w:r>
            <w:proofErr w:type="spellEnd"/>
            <w:r>
              <w:t xml:space="preserve"> </w:t>
            </w:r>
            <w:proofErr w:type="spellStart"/>
            <w:r>
              <w:t>фінансові</w:t>
            </w:r>
            <w:proofErr w:type="spellEnd"/>
            <w:r>
              <w:t xml:space="preserve"> </w:t>
            </w:r>
            <w:proofErr w:type="spellStart"/>
            <w:r>
              <w:t>інвестиції</w:t>
            </w:r>
            <w:proofErr w:type="spellEnd"/>
          </w:p>
        </w:tc>
        <w:tc>
          <w:tcPr>
            <w:tcW w:w="1760" w:type="dxa"/>
            <w:tcBorders>
              <w:top w:val="nil"/>
              <w:left w:val="nil"/>
              <w:bottom w:val="single" w:sz="4" w:space="0" w:color="auto"/>
              <w:right w:val="single" w:sz="4" w:space="0" w:color="auto"/>
            </w:tcBorders>
            <w:shd w:val="clear" w:color="auto" w:fill="auto"/>
          </w:tcPr>
          <w:p w:rsidR="00944D2B" w:rsidRDefault="00944D2B" w:rsidP="007F482E">
            <w:pPr>
              <w:jc w:val="right"/>
            </w:pPr>
            <w:r>
              <w:t>8,0 </w:t>
            </w:r>
          </w:p>
        </w:tc>
        <w:tc>
          <w:tcPr>
            <w:tcW w:w="1680" w:type="dxa"/>
            <w:tcBorders>
              <w:top w:val="nil"/>
              <w:left w:val="nil"/>
              <w:bottom w:val="single" w:sz="4" w:space="0" w:color="auto"/>
              <w:right w:val="single" w:sz="4" w:space="0" w:color="auto"/>
            </w:tcBorders>
            <w:shd w:val="clear" w:color="auto" w:fill="auto"/>
          </w:tcPr>
          <w:p w:rsidR="00944D2B" w:rsidRDefault="00944D2B" w:rsidP="007F482E">
            <w:pPr>
              <w:jc w:val="right"/>
            </w:pPr>
            <w:r>
              <w:t>8,0 </w:t>
            </w:r>
          </w:p>
        </w:tc>
      </w:tr>
      <w:tr w:rsidR="00944D2B" w:rsidTr="007F482E">
        <w:trPr>
          <w:trHeight w:val="315"/>
        </w:trPr>
        <w:tc>
          <w:tcPr>
            <w:tcW w:w="6260" w:type="dxa"/>
            <w:tcBorders>
              <w:top w:val="nil"/>
              <w:left w:val="single" w:sz="4" w:space="0" w:color="auto"/>
              <w:bottom w:val="single" w:sz="4" w:space="0" w:color="auto"/>
              <w:right w:val="single" w:sz="4" w:space="0" w:color="auto"/>
            </w:tcBorders>
            <w:shd w:val="clear" w:color="auto" w:fill="auto"/>
          </w:tcPr>
          <w:p w:rsidR="00944D2B" w:rsidRDefault="00944D2B" w:rsidP="007F482E">
            <w:r>
              <w:t>Запаси</w:t>
            </w:r>
          </w:p>
        </w:tc>
        <w:tc>
          <w:tcPr>
            <w:tcW w:w="1760" w:type="dxa"/>
            <w:tcBorders>
              <w:top w:val="nil"/>
              <w:left w:val="nil"/>
              <w:bottom w:val="single" w:sz="4" w:space="0" w:color="auto"/>
              <w:right w:val="single" w:sz="4" w:space="0" w:color="auto"/>
            </w:tcBorders>
            <w:shd w:val="clear" w:color="auto" w:fill="auto"/>
          </w:tcPr>
          <w:p w:rsidR="00944D2B" w:rsidRDefault="00944D2B" w:rsidP="007F482E">
            <w:pPr>
              <w:jc w:val="right"/>
            </w:pPr>
            <w:r>
              <w:t>21,4 </w:t>
            </w:r>
          </w:p>
        </w:tc>
        <w:tc>
          <w:tcPr>
            <w:tcW w:w="1680" w:type="dxa"/>
            <w:tcBorders>
              <w:top w:val="nil"/>
              <w:left w:val="nil"/>
              <w:bottom w:val="single" w:sz="4" w:space="0" w:color="auto"/>
              <w:right w:val="single" w:sz="4" w:space="0" w:color="auto"/>
            </w:tcBorders>
            <w:shd w:val="clear" w:color="auto" w:fill="auto"/>
          </w:tcPr>
          <w:p w:rsidR="00944D2B" w:rsidRDefault="00944D2B" w:rsidP="007F482E">
            <w:pPr>
              <w:jc w:val="right"/>
            </w:pPr>
            <w:r>
              <w:t>3,9 </w:t>
            </w:r>
          </w:p>
        </w:tc>
      </w:tr>
      <w:tr w:rsidR="00944D2B" w:rsidTr="007F482E">
        <w:trPr>
          <w:trHeight w:val="315"/>
        </w:trPr>
        <w:tc>
          <w:tcPr>
            <w:tcW w:w="6260" w:type="dxa"/>
            <w:tcBorders>
              <w:top w:val="nil"/>
              <w:left w:val="single" w:sz="4" w:space="0" w:color="auto"/>
              <w:bottom w:val="single" w:sz="4" w:space="0" w:color="auto"/>
              <w:right w:val="single" w:sz="4" w:space="0" w:color="auto"/>
            </w:tcBorders>
            <w:shd w:val="clear" w:color="auto" w:fill="auto"/>
          </w:tcPr>
          <w:p w:rsidR="00944D2B" w:rsidRDefault="00944D2B" w:rsidP="007F482E">
            <w:proofErr w:type="spellStart"/>
            <w:r>
              <w:t>Сумарна</w:t>
            </w:r>
            <w:proofErr w:type="spellEnd"/>
            <w:r>
              <w:t xml:space="preserve"> </w:t>
            </w:r>
            <w:proofErr w:type="spellStart"/>
            <w:r>
              <w:t>дебіторська</w:t>
            </w:r>
            <w:proofErr w:type="spellEnd"/>
            <w:r>
              <w:t xml:space="preserve"> </w:t>
            </w:r>
            <w:proofErr w:type="spellStart"/>
            <w:r>
              <w:t>заборгованість</w:t>
            </w:r>
            <w:proofErr w:type="spellEnd"/>
          </w:p>
        </w:tc>
        <w:tc>
          <w:tcPr>
            <w:tcW w:w="1760" w:type="dxa"/>
            <w:tcBorders>
              <w:top w:val="nil"/>
              <w:left w:val="nil"/>
              <w:bottom w:val="single" w:sz="4" w:space="0" w:color="auto"/>
              <w:right w:val="single" w:sz="4" w:space="0" w:color="auto"/>
            </w:tcBorders>
            <w:shd w:val="clear" w:color="auto" w:fill="auto"/>
          </w:tcPr>
          <w:p w:rsidR="00944D2B" w:rsidRDefault="00944D2B" w:rsidP="007F482E">
            <w:pPr>
              <w:jc w:val="right"/>
            </w:pPr>
            <w:r>
              <w:t>72,7 </w:t>
            </w:r>
          </w:p>
        </w:tc>
        <w:tc>
          <w:tcPr>
            <w:tcW w:w="1680" w:type="dxa"/>
            <w:tcBorders>
              <w:top w:val="nil"/>
              <w:left w:val="nil"/>
              <w:bottom w:val="single" w:sz="4" w:space="0" w:color="auto"/>
              <w:right w:val="single" w:sz="4" w:space="0" w:color="auto"/>
            </w:tcBorders>
            <w:shd w:val="clear" w:color="auto" w:fill="auto"/>
          </w:tcPr>
          <w:p w:rsidR="00944D2B" w:rsidRDefault="00944D2B" w:rsidP="007F482E">
            <w:pPr>
              <w:jc w:val="right"/>
            </w:pPr>
            <w:r>
              <w:t>52,4 </w:t>
            </w:r>
          </w:p>
        </w:tc>
      </w:tr>
      <w:tr w:rsidR="00944D2B" w:rsidTr="007F482E">
        <w:trPr>
          <w:trHeight w:val="315"/>
        </w:trPr>
        <w:tc>
          <w:tcPr>
            <w:tcW w:w="6260" w:type="dxa"/>
            <w:tcBorders>
              <w:top w:val="nil"/>
              <w:left w:val="single" w:sz="4" w:space="0" w:color="auto"/>
              <w:bottom w:val="single" w:sz="4" w:space="0" w:color="auto"/>
              <w:right w:val="single" w:sz="4" w:space="0" w:color="auto"/>
            </w:tcBorders>
            <w:shd w:val="clear" w:color="auto" w:fill="auto"/>
          </w:tcPr>
          <w:p w:rsidR="00944D2B" w:rsidRDefault="00944D2B" w:rsidP="007F482E">
            <w:proofErr w:type="spellStart"/>
            <w:r>
              <w:t>Грошові</w:t>
            </w:r>
            <w:proofErr w:type="spellEnd"/>
            <w:r>
              <w:t xml:space="preserve"> </w:t>
            </w:r>
            <w:proofErr w:type="spellStart"/>
            <w:r>
              <w:t>кошти</w:t>
            </w:r>
            <w:proofErr w:type="spellEnd"/>
            <w:r>
              <w:t xml:space="preserve"> та </w:t>
            </w:r>
            <w:proofErr w:type="spellStart"/>
            <w:r>
              <w:t>їх</w:t>
            </w:r>
            <w:proofErr w:type="spellEnd"/>
            <w:r>
              <w:t xml:space="preserve"> </w:t>
            </w:r>
            <w:proofErr w:type="spellStart"/>
            <w:r>
              <w:t>еквіваленти</w:t>
            </w:r>
            <w:proofErr w:type="spellEnd"/>
          </w:p>
        </w:tc>
        <w:tc>
          <w:tcPr>
            <w:tcW w:w="1760" w:type="dxa"/>
            <w:tcBorders>
              <w:top w:val="nil"/>
              <w:left w:val="nil"/>
              <w:bottom w:val="single" w:sz="4" w:space="0" w:color="auto"/>
              <w:right w:val="single" w:sz="4" w:space="0" w:color="auto"/>
            </w:tcBorders>
            <w:shd w:val="clear" w:color="auto" w:fill="auto"/>
          </w:tcPr>
          <w:p w:rsidR="00944D2B" w:rsidRDefault="00944D2B" w:rsidP="007F482E">
            <w:pPr>
              <w:jc w:val="right"/>
            </w:pPr>
            <w:r>
              <w:t>21,0 </w:t>
            </w:r>
          </w:p>
        </w:tc>
        <w:tc>
          <w:tcPr>
            <w:tcW w:w="1680" w:type="dxa"/>
            <w:tcBorders>
              <w:top w:val="nil"/>
              <w:left w:val="nil"/>
              <w:bottom w:val="single" w:sz="4" w:space="0" w:color="auto"/>
              <w:right w:val="single" w:sz="4" w:space="0" w:color="auto"/>
            </w:tcBorders>
            <w:shd w:val="clear" w:color="auto" w:fill="auto"/>
          </w:tcPr>
          <w:p w:rsidR="00944D2B" w:rsidRDefault="00944D2B" w:rsidP="007F482E">
            <w:pPr>
              <w:jc w:val="right"/>
            </w:pPr>
            <w:r>
              <w:t>17,4 </w:t>
            </w:r>
          </w:p>
        </w:tc>
      </w:tr>
      <w:tr w:rsidR="00944D2B" w:rsidTr="007F482E">
        <w:trPr>
          <w:trHeight w:val="315"/>
        </w:trPr>
        <w:tc>
          <w:tcPr>
            <w:tcW w:w="6260" w:type="dxa"/>
            <w:tcBorders>
              <w:top w:val="nil"/>
              <w:left w:val="single" w:sz="4" w:space="0" w:color="auto"/>
              <w:bottom w:val="single" w:sz="4" w:space="0" w:color="auto"/>
              <w:right w:val="single" w:sz="4" w:space="0" w:color="auto"/>
            </w:tcBorders>
            <w:shd w:val="clear" w:color="auto" w:fill="auto"/>
          </w:tcPr>
          <w:p w:rsidR="00944D2B" w:rsidRDefault="00944D2B" w:rsidP="007F482E">
            <w:proofErr w:type="spellStart"/>
            <w:r>
              <w:t>Нерозподілений</w:t>
            </w:r>
            <w:proofErr w:type="spellEnd"/>
            <w:r>
              <w:t xml:space="preserve"> </w:t>
            </w:r>
            <w:proofErr w:type="spellStart"/>
            <w:r>
              <w:t>прибуток</w:t>
            </w:r>
            <w:proofErr w:type="spellEnd"/>
          </w:p>
        </w:tc>
        <w:tc>
          <w:tcPr>
            <w:tcW w:w="1760" w:type="dxa"/>
            <w:tcBorders>
              <w:top w:val="nil"/>
              <w:left w:val="nil"/>
              <w:bottom w:val="single" w:sz="4" w:space="0" w:color="auto"/>
              <w:right w:val="single" w:sz="4" w:space="0" w:color="auto"/>
            </w:tcBorders>
            <w:shd w:val="clear" w:color="auto" w:fill="auto"/>
          </w:tcPr>
          <w:p w:rsidR="00944D2B" w:rsidRDefault="00944D2B" w:rsidP="007F482E">
            <w:pPr>
              <w:jc w:val="right"/>
            </w:pPr>
            <w:r>
              <w:t>-2106,9 </w:t>
            </w:r>
          </w:p>
        </w:tc>
        <w:tc>
          <w:tcPr>
            <w:tcW w:w="1680" w:type="dxa"/>
            <w:tcBorders>
              <w:top w:val="nil"/>
              <w:left w:val="nil"/>
              <w:bottom w:val="single" w:sz="4" w:space="0" w:color="auto"/>
              <w:right w:val="single" w:sz="4" w:space="0" w:color="auto"/>
            </w:tcBorders>
            <w:shd w:val="clear" w:color="auto" w:fill="auto"/>
          </w:tcPr>
          <w:p w:rsidR="00944D2B" w:rsidRDefault="00944D2B" w:rsidP="007F482E">
            <w:pPr>
              <w:jc w:val="right"/>
            </w:pPr>
            <w:r>
              <w:t>-1948,0 </w:t>
            </w:r>
          </w:p>
        </w:tc>
      </w:tr>
      <w:tr w:rsidR="00944D2B" w:rsidTr="007F482E">
        <w:trPr>
          <w:trHeight w:val="315"/>
        </w:trPr>
        <w:tc>
          <w:tcPr>
            <w:tcW w:w="6260" w:type="dxa"/>
            <w:tcBorders>
              <w:top w:val="nil"/>
              <w:left w:val="single" w:sz="4" w:space="0" w:color="auto"/>
              <w:bottom w:val="single" w:sz="4" w:space="0" w:color="auto"/>
              <w:right w:val="single" w:sz="4" w:space="0" w:color="auto"/>
            </w:tcBorders>
            <w:shd w:val="clear" w:color="auto" w:fill="auto"/>
          </w:tcPr>
          <w:p w:rsidR="00944D2B" w:rsidRDefault="00944D2B" w:rsidP="007F482E">
            <w:proofErr w:type="spellStart"/>
            <w:r>
              <w:t>Власний</w:t>
            </w:r>
            <w:proofErr w:type="spellEnd"/>
            <w:r>
              <w:t xml:space="preserve"> </w:t>
            </w:r>
            <w:proofErr w:type="spellStart"/>
            <w:r>
              <w:t>капітал</w:t>
            </w:r>
            <w:proofErr w:type="spellEnd"/>
          </w:p>
        </w:tc>
        <w:tc>
          <w:tcPr>
            <w:tcW w:w="1760" w:type="dxa"/>
            <w:tcBorders>
              <w:top w:val="nil"/>
              <w:left w:val="nil"/>
              <w:bottom w:val="single" w:sz="4" w:space="0" w:color="auto"/>
              <w:right w:val="single" w:sz="4" w:space="0" w:color="auto"/>
            </w:tcBorders>
            <w:shd w:val="clear" w:color="auto" w:fill="auto"/>
          </w:tcPr>
          <w:p w:rsidR="00944D2B" w:rsidRDefault="00944D2B" w:rsidP="007F482E">
            <w:pPr>
              <w:jc w:val="right"/>
            </w:pPr>
            <w:r>
              <w:t>1104,1 </w:t>
            </w:r>
          </w:p>
        </w:tc>
        <w:tc>
          <w:tcPr>
            <w:tcW w:w="1680" w:type="dxa"/>
            <w:tcBorders>
              <w:top w:val="nil"/>
              <w:left w:val="nil"/>
              <w:bottom w:val="single" w:sz="4" w:space="0" w:color="auto"/>
              <w:right w:val="single" w:sz="4" w:space="0" w:color="auto"/>
            </w:tcBorders>
            <w:shd w:val="clear" w:color="auto" w:fill="auto"/>
          </w:tcPr>
          <w:p w:rsidR="00944D2B" w:rsidRDefault="00944D2B" w:rsidP="007F482E">
            <w:pPr>
              <w:jc w:val="right"/>
            </w:pPr>
            <w:r>
              <w:t>1104,1 </w:t>
            </w:r>
          </w:p>
        </w:tc>
      </w:tr>
      <w:tr w:rsidR="00944D2B" w:rsidTr="007F482E">
        <w:trPr>
          <w:trHeight w:val="315"/>
        </w:trPr>
        <w:tc>
          <w:tcPr>
            <w:tcW w:w="6260" w:type="dxa"/>
            <w:tcBorders>
              <w:top w:val="nil"/>
              <w:left w:val="single" w:sz="4" w:space="0" w:color="auto"/>
              <w:bottom w:val="single" w:sz="4" w:space="0" w:color="auto"/>
              <w:right w:val="single" w:sz="4" w:space="0" w:color="auto"/>
            </w:tcBorders>
            <w:shd w:val="clear" w:color="auto" w:fill="auto"/>
          </w:tcPr>
          <w:p w:rsidR="00944D2B" w:rsidRDefault="00944D2B" w:rsidP="007F482E">
            <w:proofErr w:type="spellStart"/>
            <w:r>
              <w:t>Статутний</w:t>
            </w:r>
            <w:proofErr w:type="spellEnd"/>
            <w:r>
              <w:t xml:space="preserve"> </w:t>
            </w:r>
            <w:proofErr w:type="spellStart"/>
            <w:r>
              <w:t>капітал</w:t>
            </w:r>
            <w:proofErr w:type="spellEnd"/>
          </w:p>
        </w:tc>
        <w:tc>
          <w:tcPr>
            <w:tcW w:w="1760" w:type="dxa"/>
            <w:tcBorders>
              <w:top w:val="nil"/>
              <w:left w:val="nil"/>
              <w:bottom w:val="single" w:sz="4" w:space="0" w:color="auto"/>
              <w:right w:val="single" w:sz="4" w:space="0" w:color="auto"/>
            </w:tcBorders>
            <w:shd w:val="clear" w:color="auto" w:fill="auto"/>
          </w:tcPr>
          <w:p w:rsidR="00944D2B" w:rsidRDefault="00944D2B" w:rsidP="007F482E">
            <w:pPr>
              <w:jc w:val="right"/>
            </w:pPr>
            <w:r>
              <w:t>540,7 </w:t>
            </w:r>
          </w:p>
        </w:tc>
        <w:tc>
          <w:tcPr>
            <w:tcW w:w="1680" w:type="dxa"/>
            <w:tcBorders>
              <w:top w:val="nil"/>
              <w:left w:val="nil"/>
              <w:bottom w:val="single" w:sz="4" w:space="0" w:color="auto"/>
              <w:right w:val="single" w:sz="4" w:space="0" w:color="auto"/>
            </w:tcBorders>
            <w:shd w:val="clear" w:color="auto" w:fill="auto"/>
          </w:tcPr>
          <w:p w:rsidR="00944D2B" w:rsidRDefault="00944D2B" w:rsidP="007F482E">
            <w:pPr>
              <w:jc w:val="right"/>
            </w:pPr>
            <w:r>
              <w:t>540,7 </w:t>
            </w:r>
          </w:p>
        </w:tc>
      </w:tr>
      <w:tr w:rsidR="00944D2B" w:rsidTr="007F482E">
        <w:trPr>
          <w:trHeight w:val="315"/>
        </w:trPr>
        <w:tc>
          <w:tcPr>
            <w:tcW w:w="6260" w:type="dxa"/>
            <w:tcBorders>
              <w:top w:val="nil"/>
              <w:left w:val="single" w:sz="4" w:space="0" w:color="auto"/>
              <w:bottom w:val="single" w:sz="4" w:space="0" w:color="auto"/>
              <w:right w:val="single" w:sz="4" w:space="0" w:color="auto"/>
            </w:tcBorders>
            <w:shd w:val="clear" w:color="auto" w:fill="auto"/>
          </w:tcPr>
          <w:p w:rsidR="00944D2B" w:rsidRDefault="00944D2B" w:rsidP="007F482E">
            <w:proofErr w:type="spellStart"/>
            <w:r>
              <w:t>Довгострокові</w:t>
            </w:r>
            <w:proofErr w:type="spellEnd"/>
            <w:r>
              <w:t xml:space="preserve"> </w:t>
            </w:r>
            <w:proofErr w:type="spellStart"/>
            <w:r>
              <w:t>зобов’язання</w:t>
            </w:r>
            <w:proofErr w:type="spellEnd"/>
          </w:p>
        </w:tc>
        <w:tc>
          <w:tcPr>
            <w:tcW w:w="1760" w:type="dxa"/>
            <w:tcBorders>
              <w:top w:val="nil"/>
              <w:left w:val="nil"/>
              <w:bottom w:val="single" w:sz="4" w:space="0" w:color="auto"/>
              <w:right w:val="single" w:sz="4" w:space="0" w:color="auto"/>
            </w:tcBorders>
            <w:shd w:val="clear" w:color="auto" w:fill="auto"/>
          </w:tcPr>
          <w:p w:rsidR="00944D2B" w:rsidRDefault="00944D2B" w:rsidP="007F482E">
            <w:pPr>
              <w:jc w:val="right"/>
            </w:pPr>
            <w:r>
              <w:t>872,0 </w:t>
            </w:r>
          </w:p>
        </w:tc>
        <w:tc>
          <w:tcPr>
            <w:tcW w:w="1680" w:type="dxa"/>
            <w:tcBorders>
              <w:top w:val="nil"/>
              <w:left w:val="nil"/>
              <w:bottom w:val="single" w:sz="4" w:space="0" w:color="auto"/>
              <w:right w:val="single" w:sz="4" w:space="0" w:color="auto"/>
            </w:tcBorders>
            <w:shd w:val="clear" w:color="auto" w:fill="auto"/>
          </w:tcPr>
          <w:p w:rsidR="00944D2B" w:rsidRDefault="00944D2B" w:rsidP="007F482E">
            <w:pPr>
              <w:jc w:val="right"/>
            </w:pPr>
            <w:r>
              <w:t>949,9 </w:t>
            </w:r>
          </w:p>
        </w:tc>
      </w:tr>
      <w:tr w:rsidR="00944D2B" w:rsidTr="007F482E">
        <w:trPr>
          <w:trHeight w:val="315"/>
        </w:trPr>
        <w:tc>
          <w:tcPr>
            <w:tcW w:w="6260" w:type="dxa"/>
            <w:tcBorders>
              <w:top w:val="nil"/>
              <w:left w:val="single" w:sz="4" w:space="0" w:color="auto"/>
              <w:bottom w:val="single" w:sz="4" w:space="0" w:color="auto"/>
              <w:right w:val="single" w:sz="4" w:space="0" w:color="auto"/>
            </w:tcBorders>
            <w:shd w:val="clear" w:color="auto" w:fill="auto"/>
          </w:tcPr>
          <w:p w:rsidR="00944D2B" w:rsidRDefault="00944D2B" w:rsidP="007F482E">
            <w:proofErr w:type="spellStart"/>
            <w:r>
              <w:t>Поточні</w:t>
            </w:r>
            <w:proofErr w:type="spellEnd"/>
            <w:r>
              <w:t xml:space="preserve"> </w:t>
            </w:r>
            <w:proofErr w:type="spellStart"/>
            <w:r>
              <w:t>зобов’язання</w:t>
            </w:r>
            <w:proofErr w:type="spellEnd"/>
          </w:p>
        </w:tc>
        <w:tc>
          <w:tcPr>
            <w:tcW w:w="1760" w:type="dxa"/>
            <w:tcBorders>
              <w:top w:val="nil"/>
              <w:left w:val="nil"/>
              <w:bottom w:val="single" w:sz="4" w:space="0" w:color="auto"/>
              <w:right w:val="single" w:sz="4" w:space="0" w:color="auto"/>
            </w:tcBorders>
            <w:shd w:val="clear" w:color="auto" w:fill="auto"/>
          </w:tcPr>
          <w:p w:rsidR="00944D2B" w:rsidRDefault="00944D2B" w:rsidP="007F482E">
            <w:pPr>
              <w:jc w:val="right"/>
            </w:pPr>
            <w:r>
              <w:t>70,3 </w:t>
            </w:r>
          </w:p>
        </w:tc>
        <w:tc>
          <w:tcPr>
            <w:tcW w:w="1680" w:type="dxa"/>
            <w:tcBorders>
              <w:top w:val="nil"/>
              <w:left w:val="nil"/>
              <w:bottom w:val="single" w:sz="4" w:space="0" w:color="auto"/>
              <w:right w:val="single" w:sz="4" w:space="0" w:color="auto"/>
            </w:tcBorders>
            <w:shd w:val="clear" w:color="auto" w:fill="auto"/>
          </w:tcPr>
          <w:p w:rsidR="00944D2B" w:rsidRDefault="00944D2B" w:rsidP="007F482E">
            <w:pPr>
              <w:jc w:val="right"/>
            </w:pPr>
            <w:r>
              <w:t>56,5 </w:t>
            </w:r>
          </w:p>
        </w:tc>
      </w:tr>
      <w:tr w:rsidR="00944D2B" w:rsidTr="007F482E">
        <w:trPr>
          <w:trHeight w:val="315"/>
        </w:trPr>
        <w:tc>
          <w:tcPr>
            <w:tcW w:w="6260" w:type="dxa"/>
            <w:tcBorders>
              <w:top w:val="nil"/>
              <w:left w:val="single" w:sz="4" w:space="0" w:color="auto"/>
              <w:bottom w:val="single" w:sz="4" w:space="0" w:color="auto"/>
              <w:right w:val="single" w:sz="4" w:space="0" w:color="auto"/>
            </w:tcBorders>
            <w:shd w:val="clear" w:color="auto" w:fill="auto"/>
          </w:tcPr>
          <w:p w:rsidR="00944D2B" w:rsidRDefault="00944D2B" w:rsidP="007F482E">
            <w:proofErr w:type="spellStart"/>
            <w:r>
              <w:t>Чистий</w:t>
            </w:r>
            <w:proofErr w:type="spellEnd"/>
            <w:r>
              <w:t xml:space="preserve"> </w:t>
            </w:r>
            <w:proofErr w:type="spellStart"/>
            <w:r>
              <w:t>прибуток</w:t>
            </w:r>
            <w:proofErr w:type="spellEnd"/>
            <w:r>
              <w:t xml:space="preserve"> (</w:t>
            </w:r>
            <w:proofErr w:type="spellStart"/>
            <w:r>
              <w:t>збиток</w:t>
            </w:r>
            <w:proofErr w:type="spellEnd"/>
            <w:r>
              <w:t>)</w:t>
            </w:r>
          </w:p>
        </w:tc>
        <w:tc>
          <w:tcPr>
            <w:tcW w:w="1760" w:type="dxa"/>
            <w:tcBorders>
              <w:top w:val="nil"/>
              <w:left w:val="nil"/>
              <w:bottom w:val="single" w:sz="4" w:space="0" w:color="auto"/>
              <w:right w:val="single" w:sz="4" w:space="0" w:color="auto"/>
            </w:tcBorders>
            <w:shd w:val="clear" w:color="auto" w:fill="auto"/>
          </w:tcPr>
          <w:p w:rsidR="00944D2B" w:rsidRDefault="00944D2B" w:rsidP="007F482E">
            <w:pPr>
              <w:jc w:val="right"/>
            </w:pPr>
            <w:r>
              <w:t>-158,9 </w:t>
            </w:r>
          </w:p>
        </w:tc>
        <w:tc>
          <w:tcPr>
            <w:tcW w:w="1680" w:type="dxa"/>
            <w:tcBorders>
              <w:top w:val="nil"/>
              <w:left w:val="nil"/>
              <w:bottom w:val="single" w:sz="4" w:space="0" w:color="auto"/>
              <w:right w:val="single" w:sz="4" w:space="0" w:color="auto"/>
            </w:tcBorders>
            <w:shd w:val="clear" w:color="auto" w:fill="auto"/>
          </w:tcPr>
          <w:p w:rsidR="00944D2B" w:rsidRDefault="00944D2B" w:rsidP="007F482E">
            <w:pPr>
              <w:jc w:val="right"/>
            </w:pPr>
            <w:r>
              <w:t>-387,9 </w:t>
            </w:r>
          </w:p>
        </w:tc>
      </w:tr>
      <w:tr w:rsidR="00944D2B" w:rsidTr="007F482E">
        <w:trPr>
          <w:trHeight w:val="315"/>
        </w:trPr>
        <w:tc>
          <w:tcPr>
            <w:tcW w:w="6260" w:type="dxa"/>
            <w:tcBorders>
              <w:top w:val="nil"/>
              <w:left w:val="single" w:sz="4" w:space="0" w:color="auto"/>
              <w:bottom w:val="single" w:sz="4" w:space="0" w:color="auto"/>
              <w:right w:val="single" w:sz="4" w:space="0" w:color="auto"/>
            </w:tcBorders>
            <w:shd w:val="clear" w:color="auto" w:fill="auto"/>
          </w:tcPr>
          <w:p w:rsidR="00944D2B" w:rsidRDefault="00944D2B" w:rsidP="007F482E">
            <w:proofErr w:type="spellStart"/>
            <w:r>
              <w:t>Середньорічна</w:t>
            </w:r>
            <w:proofErr w:type="spellEnd"/>
            <w:r>
              <w:t xml:space="preserve"> </w:t>
            </w:r>
            <w:proofErr w:type="spellStart"/>
            <w:r>
              <w:t>кількість</w:t>
            </w:r>
            <w:proofErr w:type="spellEnd"/>
            <w:r>
              <w:t xml:space="preserve"> </w:t>
            </w:r>
            <w:proofErr w:type="spellStart"/>
            <w:r>
              <w:t>акцій</w:t>
            </w:r>
            <w:proofErr w:type="spellEnd"/>
            <w:r>
              <w:t xml:space="preserve"> </w:t>
            </w:r>
            <w:r>
              <w:rPr>
                <w:i/>
                <w:iCs/>
              </w:rPr>
              <w:t>(шт.)</w:t>
            </w:r>
          </w:p>
        </w:tc>
        <w:tc>
          <w:tcPr>
            <w:tcW w:w="1760" w:type="dxa"/>
            <w:tcBorders>
              <w:top w:val="nil"/>
              <w:left w:val="nil"/>
              <w:bottom w:val="single" w:sz="4" w:space="0" w:color="auto"/>
              <w:right w:val="single" w:sz="4" w:space="0" w:color="auto"/>
            </w:tcBorders>
            <w:shd w:val="clear" w:color="auto" w:fill="auto"/>
          </w:tcPr>
          <w:p w:rsidR="00944D2B" w:rsidRDefault="00944D2B" w:rsidP="007F482E">
            <w:pPr>
              <w:jc w:val="right"/>
            </w:pPr>
            <w:r>
              <w:t>2162,8</w:t>
            </w:r>
          </w:p>
        </w:tc>
        <w:tc>
          <w:tcPr>
            <w:tcW w:w="1680" w:type="dxa"/>
            <w:tcBorders>
              <w:top w:val="nil"/>
              <w:left w:val="nil"/>
              <w:bottom w:val="single" w:sz="4" w:space="0" w:color="auto"/>
              <w:right w:val="single" w:sz="4" w:space="0" w:color="auto"/>
            </w:tcBorders>
            <w:shd w:val="clear" w:color="auto" w:fill="auto"/>
          </w:tcPr>
          <w:p w:rsidR="00944D2B" w:rsidRDefault="00944D2B" w:rsidP="007F482E">
            <w:pPr>
              <w:jc w:val="right"/>
            </w:pPr>
            <w:r>
              <w:t>2162,8 </w:t>
            </w:r>
          </w:p>
        </w:tc>
      </w:tr>
      <w:tr w:rsidR="00944D2B" w:rsidTr="007F482E">
        <w:trPr>
          <w:trHeight w:val="630"/>
        </w:trPr>
        <w:tc>
          <w:tcPr>
            <w:tcW w:w="6260" w:type="dxa"/>
            <w:tcBorders>
              <w:top w:val="nil"/>
              <w:left w:val="single" w:sz="4" w:space="0" w:color="auto"/>
              <w:bottom w:val="single" w:sz="4" w:space="0" w:color="auto"/>
              <w:right w:val="single" w:sz="4" w:space="0" w:color="auto"/>
            </w:tcBorders>
            <w:shd w:val="clear" w:color="auto" w:fill="auto"/>
          </w:tcPr>
          <w:p w:rsidR="00944D2B" w:rsidRDefault="00944D2B" w:rsidP="007F482E">
            <w:proofErr w:type="spellStart"/>
            <w:r>
              <w:t>Кількість</w:t>
            </w:r>
            <w:proofErr w:type="spellEnd"/>
            <w:r>
              <w:t xml:space="preserve"> </w:t>
            </w:r>
            <w:proofErr w:type="spellStart"/>
            <w:r>
              <w:t>власних</w:t>
            </w:r>
            <w:proofErr w:type="spellEnd"/>
            <w:r>
              <w:t xml:space="preserve"> </w:t>
            </w:r>
            <w:proofErr w:type="spellStart"/>
            <w:r>
              <w:t>акцій</w:t>
            </w:r>
            <w:proofErr w:type="spellEnd"/>
            <w:r>
              <w:t xml:space="preserve">, </w:t>
            </w:r>
            <w:proofErr w:type="spellStart"/>
            <w:r>
              <w:t>викуплених</w:t>
            </w:r>
            <w:proofErr w:type="spellEnd"/>
            <w:r>
              <w:t xml:space="preserve"> </w:t>
            </w:r>
            <w:proofErr w:type="spellStart"/>
            <w:r>
              <w:t>протягом</w:t>
            </w:r>
            <w:proofErr w:type="spellEnd"/>
            <w:r>
              <w:t xml:space="preserve"> </w:t>
            </w:r>
            <w:proofErr w:type="spellStart"/>
            <w:r>
              <w:t>періоду</w:t>
            </w:r>
            <w:proofErr w:type="spellEnd"/>
            <w:r>
              <w:t xml:space="preserve"> </w:t>
            </w:r>
            <w:r>
              <w:rPr>
                <w:i/>
                <w:iCs/>
              </w:rPr>
              <w:t>(шт.)</w:t>
            </w:r>
          </w:p>
        </w:tc>
        <w:tc>
          <w:tcPr>
            <w:tcW w:w="1760" w:type="dxa"/>
            <w:tcBorders>
              <w:top w:val="nil"/>
              <w:left w:val="nil"/>
              <w:bottom w:val="single" w:sz="4" w:space="0" w:color="auto"/>
              <w:right w:val="single" w:sz="4" w:space="0" w:color="auto"/>
            </w:tcBorders>
            <w:shd w:val="clear" w:color="auto" w:fill="auto"/>
          </w:tcPr>
          <w:p w:rsidR="00944D2B" w:rsidRDefault="00944D2B" w:rsidP="007F482E">
            <w:pPr>
              <w:jc w:val="right"/>
            </w:pPr>
            <w:r>
              <w:t> </w:t>
            </w:r>
          </w:p>
        </w:tc>
        <w:tc>
          <w:tcPr>
            <w:tcW w:w="1680" w:type="dxa"/>
            <w:tcBorders>
              <w:top w:val="nil"/>
              <w:left w:val="nil"/>
              <w:bottom w:val="single" w:sz="4" w:space="0" w:color="auto"/>
              <w:right w:val="single" w:sz="4" w:space="0" w:color="auto"/>
            </w:tcBorders>
            <w:shd w:val="clear" w:color="auto" w:fill="auto"/>
          </w:tcPr>
          <w:p w:rsidR="00944D2B" w:rsidRDefault="00944D2B" w:rsidP="007F482E">
            <w:pPr>
              <w:jc w:val="right"/>
            </w:pPr>
            <w:r>
              <w:t> </w:t>
            </w:r>
          </w:p>
        </w:tc>
      </w:tr>
      <w:tr w:rsidR="00944D2B" w:rsidTr="007F482E">
        <w:trPr>
          <w:trHeight w:val="630"/>
        </w:trPr>
        <w:tc>
          <w:tcPr>
            <w:tcW w:w="6260" w:type="dxa"/>
            <w:tcBorders>
              <w:top w:val="nil"/>
              <w:left w:val="single" w:sz="4" w:space="0" w:color="auto"/>
              <w:bottom w:val="single" w:sz="4" w:space="0" w:color="auto"/>
              <w:right w:val="single" w:sz="4" w:space="0" w:color="auto"/>
            </w:tcBorders>
            <w:shd w:val="clear" w:color="auto" w:fill="auto"/>
          </w:tcPr>
          <w:p w:rsidR="00944D2B" w:rsidRDefault="00944D2B" w:rsidP="007F482E">
            <w:proofErr w:type="spellStart"/>
            <w:r>
              <w:t>Загальна</w:t>
            </w:r>
            <w:proofErr w:type="spellEnd"/>
            <w:r>
              <w:t xml:space="preserve"> сума </w:t>
            </w:r>
            <w:proofErr w:type="spellStart"/>
            <w:r>
              <w:t>коштів</w:t>
            </w:r>
            <w:proofErr w:type="spellEnd"/>
            <w:r>
              <w:t xml:space="preserve">, </w:t>
            </w:r>
            <w:proofErr w:type="spellStart"/>
            <w:r>
              <w:t>витрачених</w:t>
            </w:r>
            <w:proofErr w:type="spellEnd"/>
            <w:r>
              <w:t xml:space="preserve"> на </w:t>
            </w:r>
            <w:proofErr w:type="spellStart"/>
            <w:r>
              <w:t>викуп</w:t>
            </w:r>
            <w:proofErr w:type="spellEnd"/>
            <w:r>
              <w:t xml:space="preserve"> </w:t>
            </w:r>
            <w:proofErr w:type="spellStart"/>
            <w:r>
              <w:t>власних</w:t>
            </w:r>
            <w:proofErr w:type="spellEnd"/>
            <w:r>
              <w:t xml:space="preserve"> </w:t>
            </w:r>
            <w:proofErr w:type="spellStart"/>
            <w:r>
              <w:t>акцій</w:t>
            </w:r>
            <w:proofErr w:type="spellEnd"/>
            <w:r>
              <w:t xml:space="preserve"> </w:t>
            </w:r>
            <w:proofErr w:type="spellStart"/>
            <w:r>
              <w:t>протягом</w:t>
            </w:r>
            <w:proofErr w:type="spellEnd"/>
            <w:r>
              <w:t xml:space="preserve"> </w:t>
            </w:r>
            <w:proofErr w:type="spellStart"/>
            <w:r>
              <w:t>періоду</w:t>
            </w:r>
            <w:proofErr w:type="spellEnd"/>
          </w:p>
        </w:tc>
        <w:tc>
          <w:tcPr>
            <w:tcW w:w="1760" w:type="dxa"/>
            <w:tcBorders>
              <w:top w:val="nil"/>
              <w:left w:val="nil"/>
              <w:bottom w:val="single" w:sz="4" w:space="0" w:color="auto"/>
              <w:right w:val="single" w:sz="4" w:space="0" w:color="auto"/>
            </w:tcBorders>
            <w:shd w:val="clear" w:color="auto" w:fill="auto"/>
          </w:tcPr>
          <w:p w:rsidR="00944D2B" w:rsidRDefault="00944D2B" w:rsidP="007F482E">
            <w:pPr>
              <w:jc w:val="right"/>
            </w:pPr>
            <w:r>
              <w:t> </w:t>
            </w:r>
          </w:p>
        </w:tc>
        <w:tc>
          <w:tcPr>
            <w:tcW w:w="1680" w:type="dxa"/>
            <w:tcBorders>
              <w:top w:val="nil"/>
              <w:left w:val="nil"/>
              <w:bottom w:val="single" w:sz="4" w:space="0" w:color="auto"/>
              <w:right w:val="single" w:sz="4" w:space="0" w:color="auto"/>
            </w:tcBorders>
            <w:shd w:val="clear" w:color="auto" w:fill="auto"/>
          </w:tcPr>
          <w:p w:rsidR="00944D2B" w:rsidRDefault="00944D2B" w:rsidP="007F482E">
            <w:pPr>
              <w:jc w:val="right"/>
            </w:pPr>
            <w:r>
              <w:t> </w:t>
            </w:r>
          </w:p>
        </w:tc>
      </w:tr>
      <w:tr w:rsidR="00944D2B" w:rsidTr="007F482E">
        <w:trPr>
          <w:trHeight w:val="315"/>
        </w:trPr>
        <w:tc>
          <w:tcPr>
            <w:tcW w:w="6260" w:type="dxa"/>
            <w:tcBorders>
              <w:top w:val="nil"/>
              <w:left w:val="single" w:sz="4" w:space="0" w:color="auto"/>
              <w:bottom w:val="single" w:sz="4" w:space="0" w:color="auto"/>
              <w:right w:val="single" w:sz="4" w:space="0" w:color="auto"/>
            </w:tcBorders>
            <w:shd w:val="clear" w:color="auto" w:fill="auto"/>
          </w:tcPr>
          <w:p w:rsidR="00944D2B" w:rsidRDefault="00944D2B" w:rsidP="007F482E">
            <w:proofErr w:type="spellStart"/>
            <w:r>
              <w:t>Чисельність</w:t>
            </w:r>
            <w:proofErr w:type="spellEnd"/>
            <w:r>
              <w:t xml:space="preserve"> </w:t>
            </w:r>
            <w:proofErr w:type="spellStart"/>
            <w:r>
              <w:t>працівникі</w:t>
            </w:r>
            <w:proofErr w:type="gramStart"/>
            <w:r>
              <w:t>в</w:t>
            </w:r>
            <w:proofErr w:type="spellEnd"/>
            <w:proofErr w:type="gramEnd"/>
            <w:r>
              <w:t xml:space="preserve"> </w:t>
            </w:r>
            <w:proofErr w:type="gramStart"/>
            <w:r>
              <w:t>на</w:t>
            </w:r>
            <w:proofErr w:type="gramEnd"/>
            <w:r>
              <w:t xml:space="preserve"> </w:t>
            </w:r>
            <w:proofErr w:type="spellStart"/>
            <w:r>
              <w:t>кінець</w:t>
            </w:r>
            <w:proofErr w:type="spellEnd"/>
            <w:r>
              <w:t xml:space="preserve"> </w:t>
            </w:r>
            <w:proofErr w:type="spellStart"/>
            <w:r>
              <w:t>періоду</w:t>
            </w:r>
            <w:proofErr w:type="spellEnd"/>
            <w:r>
              <w:t xml:space="preserve"> </w:t>
            </w:r>
            <w:r>
              <w:rPr>
                <w:i/>
                <w:iCs/>
              </w:rPr>
              <w:t>(</w:t>
            </w:r>
            <w:proofErr w:type="spellStart"/>
            <w:r>
              <w:rPr>
                <w:i/>
                <w:iCs/>
              </w:rPr>
              <w:t>осіб</w:t>
            </w:r>
            <w:proofErr w:type="spellEnd"/>
            <w:r>
              <w:rPr>
                <w:i/>
                <w:iCs/>
              </w:rPr>
              <w:t>)</w:t>
            </w:r>
          </w:p>
        </w:tc>
        <w:tc>
          <w:tcPr>
            <w:tcW w:w="1760" w:type="dxa"/>
            <w:tcBorders>
              <w:top w:val="nil"/>
              <w:left w:val="nil"/>
              <w:bottom w:val="single" w:sz="4" w:space="0" w:color="auto"/>
              <w:right w:val="single" w:sz="4" w:space="0" w:color="auto"/>
            </w:tcBorders>
            <w:shd w:val="clear" w:color="auto" w:fill="auto"/>
          </w:tcPr>
          <w:p w:rsidR="00944D2B" w:rsidRDefault="00944D2B" w:rsidP="007F482E">
            <w:pPr>
              <w:jc w:val="right"/>
            </w:pPr>
            <w:r>
              <w:t>15 </w:t>
            </w:r>
          </w:p>
        </w:tc>
        <w:tc>
          <w:tcPr>
            <w:tcW w:w="1680" w:type="dxa"/>
            <w:tcBorders>
              <w:top w:val="nil"/>
              <w:left w:val="nil"/>
              <w:bottom w:val="single" w:sz="4" w:space="0" w:color="auto"/>
              <w:right w:val="single" w:sz="4" w:space="0" w:color="auto"/>
            </w:tcBorders>
            <w:shd w:val="clear" w:color="auto" w:fill="auto"/>
          </w:tcPr>
          <w:p w:rsidR="00944D2B" w:rsidRDefault="00944D2B" w:rsidP="007F482E">
            <w:pPr>
              <w:jc w:val="right"/>
            </w:pPr>
            <w:r>
              <w:t>14</w:t>
            </w:r>
          </w:p>
          <w:p w:rsidR="00944D2B" w:rsidRDefault="00944D2B" w:rsidP="007F482E">
            <w:pPr>
              <w:jc w:val="right"/>
            </w:pPr>
            <w:r>
              <w:t> </w:t>
            </w:r>
          </w:p>
        </w:tc>
      </w:tr>
      <w:tr w:rsidR="00944D2B" w:rsidTr="007F482E">
        <w:trPr>
          <w:trHeight w:val="255"/>
        </w:trPr>
        <w:tc>
          <w:tcPr>
            <w:tcW w:w="6260" w:type="dxa"/>
            <w:tcBorders>
              <w:top w:val="nil"/>
              <w:left w:val="nil"/>
              <w:bottom w:val="nil"/>
              <w:right w:val="nil"/>
            </w:tcBorders>
            <w:shd w:val="clear" w:color="auto" w:fill="auto"/>
            <w:noWrap/>
            <w:vAlign w:val="bottom"/>
          </w:tcPr>
          <w:p w:rsidR="00944D2B" w:rsidRDefault="00944D2B" w:rsidP="007F482E">
            <w:pPr>
              <w:rPr>
                <w:rFonts w:ascii="Arial" w:hAnsi="Arial" w:cs="Arial"/>
                <w:sz w:val="20"/>
                <w:szCs w:val="20"/>
              </w:rPr>
            </w:pPr>
          </w:p>
        </w:tc>
        <w:tc>
          <w:tcPr>
            <w:tcW w:w="1760" w:type="dxa"/>
            <w:tcBorders>
              <w:top w:val="nil"/>
              <w:left w:val="nil"/>
              <w:bottom w:val="nil"/>
              <w:right w:val="nil"/>
            </w:tcBorders>
            <w:shd w:val="clear" w:color="auto" w:fill="auto"/>
            <w:noWrap/>
            <w:vAlign w:val="bottom"/>
          </w:tcPr>
          <w:p w:rsidR="00944D2B" w:rsidRDefault="00944D2B" w:rsidP="007F482E">
            <w:pPr>
              <w:rPr>
                <w:rFonts w:ascii="Arial" w:hAnsi="Arial" w:cs="Arial"/>
                <w:sz w:val="20"/>
                <w:szCs w:val="20"/>
              </w:rPr>
            </w:pPr>
          </w:p>
        </w:tc>
        <w:tc>
          <w:tcPr>
            <w:tcW w:w="1680" w:type="dxa"/>
            <w:tcBorders>
              <w:top w:val="nil"/>
              <w:left w:val="nil"/>
              <w:bottom w:val="nil"/>
              <w:right w:val="nil"/>
            </w:tcBorders>
            <w:shd w:val="clear" w:color="auto" w:fill="auto"/>
            <w:noWrap/>
            <w:vAlign w:val="bottom"/>
          </w:tcPr>
          <w:p w:rsidR="00944D2B" w:rsidRDefault="00944D2B" w:rsidP="007F482E">
            <w:pPr>
              <w:rPr>
                <w:rFonts w:ascii="Arial" w:hAnsi="Arial" w:cs="Arial"/>
                <w:sz w:val="20"/>
                <w:szCs w:val="20"/>
              </w:rPr>
            </w:pPr>
          </w:p>
        </w:tc>
      </w:tr>
    </w:tbl>
    <w:p w:rsidR="00944D2B" w:rsidRPr="009616FC" w:rsidRDefault="00944D2B" w:rsidP="00944D2B">
      <w:pPr>
        <w:rPr>
          <w:lang w:val="uk-UA"/>
        </w:rPr>
      </w:pPr>
    </w:p>
    <w:p w:rsidR="00944D2B" w:rsidRDefault="00944D2B" w:rsidP="00944D2B">
      <w:pPr>
        <w:rPr>
          <w:lang w:val="uk-UA"/>
        </w:rPr>
      </w:pPr>
    </w:p>
    <w:tbl>
      <w:tblPr>
        <w:tblpPr w:leftFromText="180" w:rightFromText="180" w:horzAnchor="margin" w:tblpY="1254"/>
        <w:tblW w:w="9700" w:type="dxa"/>
        <w:tblLook w:val="0000" w:firstRow="0" w:lastRow="0" w:firstColumn="0" w:lastColumn="0" w:noHBand="0" w:noVBand="0"/>
      </w:tblPr>
      <w:tblGrid>
        <w:gridCol w:w="6260"/>
        <w:gridCol w:w="1760"/>
        <w:gridCol w:w="1680"/>
      </w:tblGrid>
      <w:tr w:rsidR="00944D2B" w:rsidTr="007F482E">
        <w:trPr>
          <w:trHeight w:val="315"/>
        </w:trPr>
        <w:tc>
          <w:tcPr>
            <w:tcW w:w="6260" w:type="dxa"/>
            <w:tcBorders>
              <w:top w:val="nil"/>
              <w:left w:val="nil"/>
              <w:bottom w:val="nil"/>
              <w:right w:val="nil"/>
            </w:tcBorders>
            <w:shd w:val="clear" w:color="auto" w:fill="auto"/>
            <w:noWrap/>
            <w:vAlign w:val="bottom"/>
          </w:tcPr>
          <w:p w:rsidR="00944D2B" w:rsidRDefault="00944D2B" w:rsidP="007F482E">
            <w:pPr>
              <w:jc w:val="center"/>
            </w:pPr>
            <w:proofErr w:type="spellStart"/>
            <w:r>
              <w:t>найменування</w:t>
            </w:r>
            <w:proofErr w:type="spellEnd"/>
            <w:r>
              <w:t xml:space="preserve"> </w:t>
            </w:r>
            <w:proofErr w:type="spellStart"/>
            <w:r>
              <w:t>показника</w:t>
            </w:r>
            <w:proofErr w:type="spellEnd"/>
          </w:p>
        </w:tc>
        <w:tc>
          <w:tcPr>
            <w:tcW w:w="1760" w:type="dxa"/>
            <w:tcBorders>
              <w:top w:val="nil"/>
              <w:left w:val="single" w:sz="4" w:space="0" w:color="auto"/>
              <w:bottom w:val="single" w:sz="4" w:space="0" w:color="auto"/>
              <w:right w:val="single" w:sz="4" w:space="0" w:color="auto"/>
            </w:tcBorders>
            <w:shd w:val="clear" w:color="auto" w:fill="auto"/>
          </w:tcPr>
          <w:p w:rsidR="00944D2B" w:rsidRDefault="00944D2B" w:rsidP="007F482E">
            <w:pPr>
              <w:jc w:val="center"/>
            </w:pPr>
            <w:r>
              <w:t xml:space="preserve">2014 </w:t>
            </w:r>
            <w:proofErr w:type="spellStart"/>
            <w:proofErr w:type="gramStart"/>
            <w:r>
              <w:t>р</w:t>
            </w:r>
            <w:proofErr w:type="gramEnd"/>
            <w:r>
              <w:t>ік</w:t>
            </w:r>
            <w:proofErr w:type="spellEnd"/>
          </w:p>
        </w:tc>
        <w:tc>
          <w:tcPr>
            <w:tcW w:w="1680" w:type="dxa"/>
            <w:tcBorders>
              <w:top w:val="nil"/>
              <w:left w:val="nil"/>
              <w:bottom w:val="single" w:sz="4" w:space="0" w:color="auto"/>
              <w:right w:val="single" w:sz="4" w:space="0" w:color="auto"/>
            </w:tcBorders>
            <w:shd w:val="clear" w:color="auto" w:fill="auto"/>
          </w:tcPr>
          <w:p w:rsidR="00944D2B" w:rsidRDefault="00944D2B" w:rsidP="007F482E"/>
        </w:tc>
      </w:tr>
      <w:tr w:rsidR="00944D2B" w:rsidTr="007F482E">
        <w:trPr>
          <w:trHeight w:val="315"/>
        </w:trPr>
        <w:tc>
          <w:tcPr>
            <w:tcW w:w="6260" w:type="dxa"/>
            <w:tcBorders>
              <w:top w:val="single" w:sz="4" w:space="0" w:color="auto"/>
              <w:left w:val="single" w:sz="4" w:space="0" w:color="auto"/>
              <w:bottom w:val="single" w:sz="4" w:space="0" w:color="auto"/>
              <w:right w:val="single" w:sz="4" w:space="0" w:color="auto"/>
            </w:tcBorders>
            <w:shd w:val="clear" w:color="auto" w:fill="auto"/>
          </w:tcPr>
          <w:p w:rsidR="00944D2B" w:rsidRDefault="00944D2B" w:rsidP="007F482E">
            <w:proofErr w:type="spellStart"/>
            <w:r>
              <w:t>Усього</w:t>
            </w:r>
            <w:proofErr w:type="spellEnd"/>
            <w:r>
              <w:t xml:space="preserve"> </w:t>
            </w:r>
            <w:proofErr w:type="spellStart"/>
            <w:r>
              <w:t>активі</w:t>
            </w:r>
            <w:proofErr w:type="gramStart"/>
            <w:r>
              <w:t>в</w:t>
            </w:r>
            <w:proofErr w:type="spellEnd"/>
            <w:proofErr w:type="gramEnd"/>
          </w:p>
        </w:tc>
        <w:tc>
          <w:tcPr>
            <w:tcW w:w="1760" w:type="dxa"/>
            <w:tcBorders>
              <w:top w:val="nil"/>
              <w:left w:val="nil"/>
              <w:bottom w:val="single" w:sz="4" w:space="0" w:color="auto"/>
              <w:right w:val="single" w:sz="4" w:space="0" w:color="auto"/>
            </w:tcBorders>
            <w:shd w:val="clear" w:color="auto" w:fill="auto"/>
          </w:tcPr>
          <w:p w:rsidR="00944D2B" w:rsidRDefault="00944D2B" w:rsidP="007F482E">
            <w:pPr>
              <w:jc w:val="right"/>
            </w:pPr>
            <w:r>
              <w:t>480,2 </w:t>
            </w:r>
          </w:p>
        </w:tc>
        <w:tc>
          <w:tcPr>
            <w:tcW w:w="1680" w:type="dxa"/>
            <w:tcBorders>
              <w:top w:val="nil"/>
              <w:left w:val="nil"/>
              <w:bottom w:val="single" w:sz="4" w:space="0" w:color="auto"/>
              <w:right w:val="single" w:sz="4" w:space="0" w:color="auto"/>
            </w:tcBorders>
            <w:shd w:val="clear" w:color="auto" w:fill="auto"/>
          </w:tcPr>
          <w:p w:rsidR="00944D2B" w:rsidRPr="004E04CC" w:rsidRDefault="00944D2B" w:rsidP="007F482E">
            <w:pPr>
              <w:rPr>
                <w:lang w:val="uk-UA"/>
              </w:rPr>
            </w:pPr>
          </w:p>
          <w:p w:rsidR="00944D2B" w:rsidRDefault="00944D2B" w:rsidP="007F482E">
            <w:pPr>
              <w:jc w:val="right"/>
            </w:pPr>
            <w:r>
              <w:t> </w:t>
            </w:r>
          </w:p>
        </w:tc>
      </w:tr>
      <w:tr w:rsidR="00944D2B" w:rsidTr="007F482E">
        <w:trPr>
          <w:trHeight w:val="539"/>
        </w:trPr>
        <w:tc>
          <w:tcPr>
            <w:tcW w:w="6260" w:type="dxa"/>
            <w:tcBorders>
              <w:top w:val="nil"/>
              <w:left w:val="single" w:sz="4" w:space="0" w:color="auto"/>
              <w:bottom w:val="single" w:sz="4" w:space="0" w:color="auto"/>
              <w:right w:val="single" w:sz="4" w:space="0" w:color="auto"/>
            </w:tcBorders>
            <w:shd w:val="clear" w:color="auto" w:fill="auto"/>
          </w:tcPr>
          <w:p w:rsidR="00944D2B" w:rsidRDefault="00944D2B" w:rsidP="007F482E">
            <w:proofErr w:type="spellStart"/>
            <w:r>
              <w:t>Основні</w:t>
            </w:r>
            <w:proofErr w:type="spellEnd"/>
            <w:r>
              <w:t xml:space="preserve"> </w:t>
            </w:r>
            <w:proofErr w:type="spellStart"/>
            <w:r>
              <w:t>засоби</w:t>
            </w:r>
            <w:proofErr w:type="spellEnd"/>
          </w:p>
        </w:tc>
        <w:tc>
          <w:tcPr>
            <w:tcW w:w="1760" w:type="dxa"/>
            <w:tcBorders>
              <w:top w:val="nil"/>
              <w:left w:val="nil"/>
              <w:bottom w:val="single" w:sz="4" w:space="0" w:color="auto"/>
              <w:right w:val="single" w:sz="4" w:space="0" w:color="auto"/>
            </w:tcBorders>
            <w:shd w:val="clear" w:color="auto" w:fill="auto"/>
          </w:tcPr>
          <w:p w:rsidR="00944D2B" w:rsidRDefault="00944D2B" w:rsidP="007F482E">
            <w:pPr>
              <w:jc w:val="center"/>
            </w:pPr>
          </w:p>
          <w:p w:rsidR="00944D2B" w:rsidRDefault="00944D2B" w:rsidP="007F482E">
            <w:pPr>
              <w:jc w:val="right"/>
            </w:pPr>
          </w:p>
          <w:p w:rsidR="00944D2B" w:rsidRDefault="00944D2B" w:rsidP="007F482E">
            <w:pPr>
              <w:jc w:val="right"/>
            </w:pPr>
          </w:p>
        </w:tc>
        <w:tc>
          <w:tcPr>
            <w:tcW w:w="1680" w:type="dxa"/>
            <w:tcBorders>
              <w:top w:val="nil"/>
              <w:left w:val="nil"/>
              <w:bottom w:val="single" w:sz="4" w:space="0" w:color="auto"/>
              <w:right w:val="single" w:sz="4" w:space="0" w:color="auto"/>
            </w:tcBorders>
            <w:shd w:val="clear" w:color="auto" w:fill="auto"/>
          </w:tcPr>
          <w:p w:rsidR="00944D2B" w:rsidRDefault="00944D2B" w:rsidP="007F482E">
            <w:pPr>
              <w:jc w:val="right"/>
            </w:pPr>
            <w:r>
              <w:t>5 </w:t>
            </w:r>
          </w:p>
        </w:tc>
      </w:tr>
      <w:tr w:rsidR="00944D2B" w:rsidTr="007F482E">
        <w:trPr>
          <w:trHeight w:val="315"/>
        </w:trPr>
        <w:tc>
          <w:tcPr>
            <w:tcW w:w="6260" w:type="dxa"/>
            <w:tcBorders>
              <w:top w:val="nil"/>
              <w:left w:val="single" w:sz="4" w:space="0" w:color="auto"/>
              <w:bottom w:val="single" w:sz="4" w:space="0" w:color="auto"/>
              <w:right w:val="single" w:sz="4" w:space="0" w:color="auto"/>
            </w:tcBorders>
            <w:shd w:val="clear" w:color="auto" w:fill="auto"/>
          </w:tcPr>
          <w:p w:rsidR="00944D2B" w:rsidRDefault="00944D2B" w:rsidP="007F482E">
            <w:proofErr w:type="spellStart"/>
            <w:r>
              <w:t>Довгострокові</w:t>
            </w:r>
            <w:proofErr w:type="spellEnd"/>
            <w:r>
              <w:t xml:space="preserve"> </w:t>
            </w:r>
            <w:proofErr w:type="spellStart"/>
            <w:r>
              <w:t>фінансові</w:t>
            </w:r>
            <w:proofErr w:type="spellEnd"/>
            <w:r>
              <w:t xml:space="preserve"> </w:t>
            </w:r>
            <w:proofErr w:type="spellStart"/>
            <w:r>
              <w:t>інвестиції</w:t>
            </w:r>
            <w:proofErr w:type="spellEnd"/>
          </w:p>
        </w:tc>
        <w:tc>
          <w:tcPr>
            <w:tcW w:w="1760" w:type="dxa"/>
            <w:tcBorders>
              <w:top w:val="nil"/>
              <w:left w:val="nil"/>
              <w:bottom w:val="single" w:sz="4" w:space="0" w:color="auto"/>
              <w:right w:val="single" w:sz="4" w:space="0" w:color="auto"/>
            </w:tcBorders>
            <w:shd w:val="clear" w:color="auto" w:fill="auto"/>
          </w:tcPr>
          <w:p w:rsidR="00944D2B" w:rsidRDefault="00944D2B" w:rsidP="007F482E">
            <w:pPr>
              <w:jc w:val="right"/>
            </w:pPr>
            <w:r>
              <w:t>8,0 </w:t>
            </w:r>
          </w:p>
        </w:tc>
        <w:tc>
          <w:tcPr>
            <w:tcW w:w="1680" w:type="dxa"/>
            <w:tcBorders>
              <w:top w:val="nil"/>
              <w:left w:val="nil"/>
              <w:bottom w:val="single" w:sz="4" w:space="0" w:color="auto"/>
              <w:right w:val="single" w:sz="4" w:space="0" w:color="auto"/>
            </w:tcBorders>
            <w:shd w:val="clear" w:color="auto" w:fill="auto"/>
          </w:tcPr>
          <w:p w:rsidR="00944D2B" w:rsidRDefault="00944D2B" w:rsidP="007F482E">
            <w:pPr>
              <w:jc w:val="right"/>
            </w:pPr>
            <w:r>
              <w:t>8,0 </w:t>
            </w:r>
          </w:p>
        </w:tc>
      </w:tr>
      <w:tr w:rsidR="00944D2B" w:rsidTr="007F482E">
        <w:trPr>
          <w:trHeight w:val="315"/>
        </w:trPr>
        <w:tc>
          <w:tcPr>
            <w:tcW w:w="6260" w:type="dxa"/>
            <w:tcBorders>
              <w:top w:val="nil"/>
              <w:left w:val="single" w:sz="4" w:space="0" w:color="auto"/>
              <w:bottom w:val="single" w:sz="4" w:space="0" w:color="auto"/>
              <w:right w:val="single" w:sz="4" w:space="0" w:color="auto"/>
            </w:tcBorders>
            <w:shd w:val="clear" w:color="auto" w:fill="auto"/>
          </w:tcPr>
          <w:p w:rsidR="00944D2B" w:rsidRDefault="00944D2B" w:rsidP="007F482E">
            <w:r>
              <w:t>Запаси</w:t>
            </w:r>
          </w:p>
        </w:tc>
        <w:tc>
          <w:tcPr>
            <w:tcW w:w="1760" w:type="dxa"/>
            <w:tcBorders>
              <w:top w:val="nil"/>
              <w:left w:val="nil"/>
              <w:bottom w:val="single" w:sz="4" w:space="0" w:color="auto"/>
              <w:right w:val="single" w:sz="4" w:space="0" w:color="auto"/>
            </w:tcBorders>
            <w:shd w:val="clear" w:color="auto" w:fill="auto"/>
          </w:tcPr>
          <w:p w:rsidR="00944D2B" w:rsidRDefault="00944D2B" w:rsidP="007F482E">
            <w:pPr>
              <w:jc w:val="right"/>
            </w:pPr>
            <w:r>
              <w:t>21,4 </w:t>
            </w:r>
          </w:p>
        </w:tc>
        <w:tc>
          <w:tcPr>
            <w:tcW w:w="1680" w:type="dxa"/>
            <w:tcBorders>
              <w:top w:val="nil"/>
              <w:left w:val="nil"/>
              <w:bottom w:val="single" w:sz="4" w:space="0" w:color="auto"/>
              <w:right w:val="single" w:sz="4" w:space="0" w:color="auto"/>
            </w:tcBorders>
            <w:shd w:val="clear" w:color="auto" w:fill="auto"/>
          </w:tcPr>
          <w:p w:rsidR="00944D2B" w:rsidRDefault="00944D2B" w:rsidP="007F482E">
            <w:pPr>
              <w:jc w:val="right"/>
            </w:pPr>
            <w:r>
              <w:t>3,9 </w:t>
            </w:r>
          </w:p>
        </w:tc>
      </w:tr>
      <w:tr w:rsidR="00944D2B" w:rsidTr="007F482E">
        <w:trPr>
          <w:trHeight w:val="315"/>
        </w:trPr>
        <w:tc>
          <w:tcPr>
            <w:tcW w:w="6260" w:type="dxa"/>
            <w:tcBorders>
              <w:top w:val="nil"/>
              <w:left w:val="single" w:sz="4" w:space="0" w:color="auto"/>
              <w:bottom w:val="single" w:sz="4" w:space="0" w:color="auto"/>
              <w:right w:val="single" w:sz="4" w:space="0" w:color="auto"/>
            </w:tcBorders>
            <w:shd w:val="clear" w:color="auto" w:fill="auto"/>
          </w:tcPr>
          <w:p w:rsidR="00944D2B" w:rsidRDefault="00944D2B" w:rsidP="007F482E">
            <w:proofErr w:type="spellStart"/>
            <w:r>
              <w:t>Сумарна</w:t>
            </w:r>
            <w:proofErr w:type="spellEnd"/>
            <w:r>
              <w:t xml:space="preserve"> </w:t>
            </w:r>
            <w:proofErr w:type="spellStart"/>
            <w:r>
              <w:t>дебіторська</w:t>
            </w:r>
            <w:proofErr w:type="spellEnd"/>
            <w:r>
              <w:t xml:space="preserve"> </w:t>
            </w:r>
            <w:proofErr w:type="spellStart"/>
            <w:r>
              <w:t>заборгованість</w:t>
            </w:r>
            <w:proofErr w:type="spellEnd"/>
          </w:p>
        </w:tc>
        <w:tc>
          <w:tcPr>
            <w:tcW w:w="1760" w:type="dxa"/>
            <w:tcBorders>
              <w:top w:val="nil"/>
              <w:left w:val="nil"/>
              <w:bottom w:val="single" w:sz="4" w:space="0" w:color="auto"/>
              <w:right w:val="single" w:sz="4" w:space="0" w:color="auto"/>
            </w:tcBorders>
            <w:shd w:val="clear" w:color="auto" w:fill="auto"/>
          </w:tcPr>
          <w:p w:rsidR="00944D2B" w:rsidRDefault="00944D2B" w:rsidP="007F482E">
            <w:pPr>
              <w:jc w:val="right"/>
            </w:pPr>
            <w:r>
              <w:t>72,7 </w:t>
            </w:r>
          </w:p>
        </w:tc>
        <w:tc>
          <w:tcPr>
            <w:tcW w:w="1680" w:type="dxa"/>
            <w:tcBorders>
              <w:top w:val="nil"/>
              <w:left w:val="nil"/>
              <w:bottom w:val="single" w:sz="4" w:space="0" w:color="auto"/>
              <w:right w:val="single" w:sz="4" w:space="0" w:color="auto"/>
            </w:tcBorders>
            <w:shd w:val="clear" w:color="auto" w:fill="auto"/>
          </w:tcPr>
          <w:p w:rsidR="00944D2B" w:rsidRDefault="00944D2B" w:rsidP="007F482E">
            <w:pPr>
              <w:jc w:val="right"/>
            </w:pPr>
            <w:r>
              <w:t>52,4 </w:t>
            </w:r>
          </w:p>
        </w:tc>
      </w:tr>
      <w:tr w:rsidR="00944D2B" w:rsidTr="007F482E">
        <w:trPr>
          <w:trHeight w:val="315"/>
        </w:trPr>
        <w:tc>
          <w:tcPr>
            <w:tcW w:w="6260" w:type="dxa"/>
            <w:tcBorders>
              <w:top w:val="nil"/>
              <w:left w:val="single" w:sz="4" w:space="0" w:color="auto"/>
              <w:bottom w:val="single" w:sz="4" w:space="0" w:color="auto"/>
              <w:right w:val="single" w:sz="4" w:space="0" w:color="auto"/>
            </w:tcBorders>
            <w:shd w:val="clear" w:color="auto" w:fill="auto"/>
          </w:tcPr>
          <w:p w:rsidR="00944D2B" w:rsidRDefault="00944D2B" w:rsidP="007F482E">
            <w:proofErr w:type="spellStart"/>
            <w:r>
              <w:t>Грошові</w:t>
            </w:r>
            <w:proofErr w:type="spellEnd"/>
            <w:r>
              <w:t xml:space="preserve"> </w:t>
            </w:r>
            <w:proofErr w:type="spellStart"/>
            <w:r>
              <w:t>кошти</w:t>
            </w:r>
            <w:proofErr w:type="spellEnd"/>
            <w:r>
              <w:t xml:space="preserve"> та </w:t>
            </w:r>
            <w:proofErr w:type="spellStart"/>
            <w:r>
              <w:t>їх</w:t>
            </w:r>
            <w:proofErr w:type="spellEnd"/>
            <w:r>
              <w:t xml:space="preserve"> </w:t>
            </w:r>
            <w:proofErr w:type="spellStart"/>
            <w:r>
              <w:t>еквіваленти</w:t>
            </w:r>
            <w:proofErr w:type="spellEnd"/>
          </w:p>
        </w:tc>
        <w:tc>
          <w:tcPr>
            <w:tcW w:w="1760" w:type="dxa"/>
            <w:tcBorders>
              <w:top w:val="nil"/>
              <w:left w:val="nil"/>
              <w:bottom w:val="single" w:sz="4" w:space="0" w:color="auto"/>
              <w:right w:val="single" w:sz="4" w:space="0" w:color="auto"/>
            </w:tcBorders>
            <w:shd w:val="clear" w:color="auto" w:fill="auto"/>
          </w:tcPr>
          <w:p w:rsidR="00944D2B" w:rsidRDefault="00944D2B" w:rsidP="007F482E">
            <w:pPr>
              <w:jc w:val="right"/>
            </w:pPr>
            <w:r>
              <w:t>21,0 </w:t>
            </w:r>
          </w:p>
        </w:tc>
        <w:tc>
          <w:tcPr>
            <w:tcW w:w="1680" w:type="dxa"/>
            <w:tcBorders>
              <w:top w:val="nil"/>
              <w:left w:val="nil"/>
              <w:bottom w:val="single" w:sz="4" w:space="0" w:color="auto"/>
              <w:right w:val="single" w:sz="4" w:space="0" w:color="auto"/>
            </w:tcBorders>
            <w:shd w:val="clear" w:color="auto" w:fill="auto"/>
          </w:tcPr>
          <w:p w:rsidR="00944D2B" w:rsidRDefault="00944D2B" w:rsidP="007F482E">
            <w:pPr>
              <w:jc w:val="right"/>
            </w:pPr>
            <w:r>
              <w:t>17,4 </w:t>
            </w:r>
          </w:p>
        </w:tc>
      </w:tr>
      <w:tr w:rsidR="00944D2B" w:rsidTr="007F482E">
        <w:trPr>
          <w:trHeight w:val="315"/>
        </w:trPr>
        <w:tc>
          <w:tcPr>
            <w:tcW w:w="6260" w:type="dxa"/>
            <w:tcBorders>
              <w:top w:val="nil"/>
              <w:left w:val="single" w:sz="4" w:space="0" w:color="auto"/>
              <w:bottom w:val="single" w:sz="4" w:space="0" w:color="auto"/>
              <w:right w:val="single" w:sz="4" w:space="0" w:color="auto"/>
            </w:tcBorders>
            <w:shd w:val="clear" w:color="auto" w:fill="auto"/>
          </w:tcPr>
          <w:p w:rsidR="00944D2B" w:rsidRDefault="00944D2B" w:rsidP="007F482E">
            <w:proofErr w:type="spellStart"/>
            <w:r>
              <w:t>Нерозподілений</w:t>
            </w:r>
            <w:proofErr w:type="spellEnd"/>
            <w:r>
              <w:t xml:space="preserve"> </w:t>
            </w:r>
            <w:proofErr w:type="spellStart"/>
            <w:r>
              <w:t>прибуток</w:t>
            </w:r>
            <w:proofErr w:type="spellEnd"/>
          </w:p>
        </w:tc>
        <w:tc>
          <w:tcPr>
            <w:tcW w:w="1760" w:type="dxa"/>
            <w:tcBorders>
              <w:top w:val="nil"/>
              <w:left w:val="nil"/>
              <w:bottom w:val="single" w:sz="4" w:space="0" w:color="auto"/>
              <w:right w:val="single" w:sz="4" w:space="0" w:color="auto"/>
            </w:tcBorders>
            <w:shd w:val="clear" w:color="auto" w:fill="auto"/>
          </w:tcPr>
          <w:p w:rsidR="00944D2B" w:rsidRDefault="00944D2B" w:rsidP="007F482E">
            <w:pPr>
              <w:jc w:val="right"/>
            </w:pPr>
            <w:r>
              <w:t>-2106,9 </w:t>
            </w:r>
          </w:p>
        </w:tc>
        <w:tc>
          <w:tcPr>
            <w:tcW w:w="1680" w:type="dxa"/>
            <w:tcBorders>
              <w:top w:val="nil"/>
              <w:left w:val="nil"/>
              <w:bottom w:val="single" w:sz="4" w:space="0" w:color="auto"/>
              <w:right w:val="single" w:sz="4" w:space="0" w:color="auto"/>
            </w:tcBorders>
            <w:shd w:val="clear" w:color="auto" w:fill="auto"/>
          </w:tcPr>
          <w:p w:rsidR="00944D2B" w:rsidRDefault="00944D2B" w:rsidP="007F482E">
            <w:pPr>
              <w:jc w:val="right"/>
            </w:pPr>
            <w:r>
              <w:t>-1948,0 </w:t>
            </w:r>
          </w:p>
        </w:tc>
      </w:tr>
      <w:tr w:rsidR="00944D2B" w:rsidTr="007F482E">
        <w:trPr>
          <w:trHeight w:val="315"/>
        </w:trPr>
        <w:tc>
          <w:tcPr>
            <w:tcW w:w="6260" w:type="dxa"/>
            <w:tcBorders>
              <w:top w:val="nil"/>
              <w:left w:val="single" w:sz="4" w:space="0" w:color="auto"/>
              <w:bottom w:val="single" w:sz="4" w:space="0" w:color="auto"/>
              <w:right w:val="single" w:sz="4" w:space="0" w:color="auto"/>
            </w:tcBorders>
            <w:shd w:val="clear" w:color="auto" w:fill="auto"/>
          </w:tcPr>
          <w:p w:rsidR="00944D2B" w:rsidRDefault="00944D2B" w:rsidP="007F482E">
            <w:proofErr w:type="spellStart"/>
            <w:r>
              <w:t>Власний</w:t>
            </w:r>
            <w:proofErr w:type="spellEnd"/>
            <w:r>
              <w:t xml:space="preserve"> </w:t>
            </w:r>
            <w:proofErr w:type="spellStart"/>
            <w:r>
              <w:t>капітал</w:t>
            </w:r>
            <w:proofErr w:type="spellEnd"/>
          </w:p>
        </w:tc>
        <w:tc>
          <w:tcPr>
            <w:tcW w:w="1760" w:type="dxa"/>
            <w:tcBorders>
              <w:top w:val="nil"/>
              <w:left w:val="nil"/>
              <w:bottom w:val="single" w:sz="4" w:space="0" w:color="auto"/>
              <w:right w:val="single" w:sz="4" w:space="0" w:color="auto"/>
            </w:tcBorders>
            <w:shd w:val="clear" w:color="auto" w:fill="auto"/>
          </w:tcPr>
          <w:p w:rsidR="00944D2B" w:rsidRDefault="00944D2B" w:rsidP="007F482E">
            <w:pPr>
              <w:jc w:val="right"/>
            </w:pPr>
            <w:r>
              <w:t>1104,1 </w:t>
            </w:r>
          </w:p>
        </w:tc>
        <w:tc>
          <w:tcPr>
            <w:tcW w:w="1680" w:type="dxa"/>
            <w:tcBorders>
              <w:top w:val="nil"/>
              <w:left w:val="nil"/>
              <w:bottom w:val="single" w:sz="4" w:space="0" w:color="auto"/>
              <w:right w:val="single" w:sz="4" w:space="0" w:color="auto"/>
            </w:tcBorders>
            <w:shd w:val="clear" w:color="auto" w:fill="auto"/>
          </w:tcPr>
          <w:p w:rsidR="00944D2B" w:rsidRDefault="00944D2B" w:rsidP="007F482E">
            <w:pPr>
              <w:jc w:val="right"/>
            </w:pPr>
            <w:r>
              <w:t>1104,1 </w:t>
            </w:r>
          </w:p>
        </w:tc>
      </w:tr>
      <w:tr w:rsidR="00944D2B" w:rsidTr="007F482E">
        <w:trPr>
          <w:trHeight w:val="315"/>
        </w:trPr>
        <w:tc>
          <w:tcPr>
            <w:tcW w:w="6260" w:type="dxa"/>
            <w:tcBorders>
              <w:top w:val="nil"/>
              <w:left w:val="single" w:sz="4" w:space="0" w:color="auto"/>
              <w:bottom w:val="single" w:sz="4" w:space="0" w:color="auto"/>
              <w:right w:val="single" w:sz="4" w:space="0" w:color="auto"/>
            </w:tcBorders>
            <w:shd w:val="clear" w:color="auto" w:fill="auto"/>
          </w:tcPr>
          <w:p w:rsidR="00944D2B" w:rsidRDefault="00944D2B" w:rsidP="007F482E">
            <w:proofErr w:type="spellStart"/>
            <w:r>
              <w:t>Статутний</w:t>
            </w:r>
            <w:proofErr w:type="spellEnd"/>
            <w:r>
              <w:t xml:space="preserve"> </w:t>
            </w:r>
            <w:proofErr w:type="spellStart"/>
            <w:r>
              <w:t>капітал</w:t>
            </w:r>
            <w:proofErr w:type="spellEnd"/>
          </w:p>
        </w:tc>
        <w:tc>
          <w:tcPr>
            <w:tcW w:w="1760" w:type="dxa"/>
            <w:tcBorders>
              <w:top w:val="nil"/>
              <w:left w:val="nil"/>
              <w:bottom w:val="single" w:sz="4" w:space="0" w:color="auto"/>
              <w:right w:val="single" w:sz="4" w:space="0" w:color="auto"/>
            </w:tcBorders>
            <w:shd w:val="clear" w:color="auto" w:fill="auto"/>
          </w:tcPr>
          <w:p w:rsidR="00944D2B" w:rsidRDefault="00944D2B" w:rsidP="007F482E">
            <w:pPr>
              <w:jc w:val="right"/>
            </w:pPr>
            <w:r>
              <w:t>540,7 </w:t>
            </w:r>
          </w:p>
        </w:tc>
        <w:tc>
          <w:tcPr>
            <w:tcW w:w="1680" w:type="dxa"/>
            <w:tcBorders>
              <w:top w:val="nil"/>
              <w:left w:val="nil"/>
              <w:bottom w:val="single" w:sz="4" w:space="0" w:color="auto"/>
              <w:right w:val="single" w:sz="4" w:space="0" w:color="auto"/>
            </w:tcBorders>
            <w:shd w:val="clear" w:color="auto" w:fill="auto"/>
          </w:tcPr>
          <w:p w:rsidR="00944D2B" w:rsidRDefault="00944D2B" w:rsidP="007F482E">
            <w:pPr>
              <w:jc w:val="right"/>
            </w:pPr>
            <w:r>
              <w:t>540,7 </w:t>
            </w:r>
          </w:p>
        </w:tc>
      </w:tr>
      <w:tr w:rsidR="00944D2B" w:rsidTr="007F482E">
        <w:trPr>
          <w:trHeight w:val="315"/>
        </w:trPr>
        <w:tc>
          <w:tcPr>
            <w:tcW w:w="6260" w:type="dxa"/>
            <w:tcBorders>
              <w:top w:val="nil"/>
              <w:left w:val="single" w:sz="4" w:space="0" w:color="auto"/>
              <w:bottom w:val="single" w:sz="4" w:space="0" w:color="auto"/>
              <w:right w:val="single" w:sz="4" w:space="0" w:color="auto"/>
            </w:tcBorders>
            <w:shd w:val="clear" w:color="auto" w:fill="auto"/>
          </w:tcPr>
          <w:p w:rsidR="00944D2B" w:rsidRDefault="00944D2B" w:rsidP="007F482E">
            <w:proofErr w:type="spellStart"/>
            <w:r>
              <w:t>Довгострокові</w:t>
            </w:r>
            <w:proofErr w:type="spellEnd"/>
            <w:r>
              <w:t xml:space="preserve"> </w:t>
            </w:r>
            <w:proofErr w:type="spellStart"/>
            <w:r>
              <w:t>зобов’язання</w:t>
            </w:r>
            <w:proofErr w:type="spellEnd"/>
          </w:p>
        </w:tc>
        <w:tc>
          <w:tcPr>
            <w:tcW w:w="1760" w:type="dxa"/>
            <w:tcBorders>
              <w:top w:val="nil"/>
              <w:left w:val="nil"/>
              <w:bottom w:val="single" w:sz="4" w:space="0" w:color="auto"/>
              <w:right w:val="single" w:sz="4" w:space="0" w:color="auto"/>
            </w:tcBorders>
            <w:shd w:val="clear" w:color="auto" w:fill="auto"/>
          </w:tcPr>
          <w:p w:rsidR="00944D2B" w:rsidRDefault="00944D2B" w:rsidP="007F482E">
            <w:pPr>
              <w:jc w:val="right"/>
            </w:pPr>
            <w:r>
              <w:t>872,0 </w:t>
            </w:r>
          </w:p>
        </w:tc>
        <w:tc>
          <w:tcPr>
            <w:tcW w:w="1680" w:type="dxa"/>
            <w:tcBorders>
              <w:top w:val="nil"/>
              <w:left w:val="nil"/>
              <w:bottom w:val="single" w:sz="4" w:space="0" w:color="auto"/>
              <w:right w:val="single" w:sz="4" w:space="0" w:color="auto"/>
            </w:tcBorders>
            <w:shd w:val="clear" w:color="auto" w:fill="auto"/>
          </w:tcPr>
          <w:p w:rsidR="00944D2B" w:rsidRDefault="00944D2B" w:rsidP="007F482E">
            <w:pPr>
              <w:jc w:val="right"/>
            </w:pPr>
            <w:r>
              <w:t>949,9 </w:t>
            </w:r>
          </w:p>
        </w:tc>
      </w:tr>
      <w:tr w:rsidR="00944D2B" w:rsidTr="007F482E">
        <w:trPr>
          <w:trHeight w:val="315"/>
        </w:trPr>
        <w:tc>
          <w:tcPr>
            <w:tcW w:w="6260" w:type="dxa"/>
            <w:tcBorders>
              <w:top w:val="nil"/>
              <w:left w:val="single" w:sz="4" w:space="0" w:color="auto"/>
              <w:bottom w:val="single" w:sz="4" w:space="0" w:color="auto"/>
              <w:right w:val="single" w:sz="4" w:space="0" w:color="auto"/>
            </w:tcBorders>
            <w:shd w:val="clear" w:color="auto" w:fill="auto"/>
          </w:tcPr>
          <w:p w:rsidR="00944D2B" w:rsidRDefault="00944D2B" w:rsidP="007F482E">
            <w:proofErr w:type="spellStart"/>
            <w:r>
              <w:t>Поточні</w:t>
            </w:r>
            <w:proofErr w:type="spellEnd"/>
            <w:r>
              <w:t xml:space="preserve"> </w:t>
            </w:r>
            <w:proofErr w:type="spellStart"/>
            <w:r>
              <w:t>зобов’язання</w:t>
            </w:r>
            <w:proofErr w:type="spellEnd"/>
          </w:p>
        </w:tc>
        <w:tc>
          <w:tcPr>
            <w:tcW w:w="1760" w:type="dxa"/>
            <w:tcBorders>
              <w:top w:val="nil"/>
              <w:left w:val="nil"/>
              <w:bottom w:val="single" w:sz="4" w:space="0" w:color="auto"/>
              <w:right w:val="single" w:sz="4" w:space="0" w:color="auto"/>
            </w:tcBorders>
            <w:shd w:val="clear" w:color="auto" w:fill="auto"/>
          </w:tcPr>
          <w:p w:rsidR="00944D2B" w:rsidRDefault="00944D2B" w:rsidP="007F482E">
            <w:pPr>
              <w:jc w:val="right"/>
            </w:pPr>
            <w:r>
              <w:t>70,3 </w:t>
            </w:r>
          </w:p>
        </w:tc>
        <w:tc>
          <w:tcPr>
            <w:tcW w:w="1680" w:type="dxa"/>
            <w:tcBorders>
              <w:top w:val="nil"/>
              <w:left w:val="nil"/>
              <w:bottom w:val="single" w:sz="4" w:space="0" w:color="auto"/>
              <w:right w:val="single" w:sz="4" w:space="0" w:color="auto"/>
            </w:tcBorders>
            <w:shd w:val="clear" w:color="auto" w:fill="auto"/>
          </w:tcPr>
          <w:p w:rsidR="00944D2B" w:rsidRDefault="00944D2B" w:rsidP="007F482E">
            <w:pPr>
              <w:jc w:val="right"/>
            </w:pPr>
            <w:r>
              <w:t>56,5 </w:t>
            </w:r>
          </w:p>
        </w:tc>
      </w:tr>
      <w:tr w:rsidR="00944D2B" w:rsidTr="007F482E">
        <w:trPr>
          <w:trHeight w:val="315"/>
        </w:trPr>
        <w:tc>
          <w:tcPr>
            <w:tcW w:w="6260" w:type="dxa"/>
            <w:tcBorders>
              <w:top w:val="nil"/>
              <w:left w:val="single" w:sz="4" w:space="0" w:color="auto"/>
              <w:bottom w:val="single" w:sz="4" w:space="0" w:color="auto"/>
              <w:right w:val="single" w:sz="4" w:space="0" w:color="auto"/>
            </w:tcBorders>
            <w:shd w:val="clear" w:color="auto" w:fill="auto"/>
          </w:tcPr>
          <w:p w:rsidR="00944D2B" w:rsidRDefault="00944D2B" w:rsidP="007F482E">
            <w:proofErr w:type="spellStart"/>
            <w:r>
              <w:t>Чистий</w:t>
            </w:r>
            <w:proofErr w:type="spellEnd"/>
            <w:r>
              <w:t xml:space="preserve"> </w:t>
            </w:r>
            <w:proofErr w:type="spellStart"/>
            <w:r>
              <w:t>прибуток</w:t>
            </w:r>
            <w:proofErr w:type="spellEnd"/>
            <w:r>
              <w:t xml:space="preserve"> (</w:t>
            </w:r>
            <w:proofErr w:type="spellStart"/>
            <w:r>
              <w:t>збиток</w:t>
            </w:r>
            <w:proofErr w:type="spellEnd"/>
            <w:r>
              <w:t>)</w:t>
            </w:r>
          </w:p>
        </w:tc>
        <w:tc>
          <w:tcPr>
            <w:tcW w:w="1760" w:type="dxa"/>
            <w:tcBorders>
              <w:top w:val="nil"/>
              <w:left w:val="nil"/>
              <w:bottom w:val="single" w:sz="4" w:space="0" w:color="auto"/>
              <w:right w:val="single" w:sz="4" w:space="0" w:color="auto"/>
            </w:tcBorders>
            <w:shd w:val="clear" w:color="auto" w:fill="auto"/>
          </w:tcPr>
          <w:p w:rsidR="00944D2B" w:rsidRDefault="00944D2B" w:rsidP="007F482E">
            <w:pPr>
              <w:jc w:val="right"/>
            </w:pPr>
            <w:r>
              <w:t>-158,9 </w:t>
            </w:r>
          </w:p>
        </w:tc>
        <w:tc>
          <w:tcPr>
            <w:tcW w:w="1680" w:type="dxa"/>
            <w:tcBorders>
              <w:top w:val="nil"/>
              <w:left w:val="nil"/>
              <w:bottom w:val="single" w:sz="4" w:space="0" w:color="auto"/>
              <w:right w:val="single" w:sz="4" w:space="0" w:color="auto"/>
            </w:tcBorders>
            <w:shd w:val="clear" w:color="auto" w:fill="auto"/>
          </w:tcPr>
          <w:p w:rsidR="00944D2B" w:rsidRDefault="00944D2B" w:rsidP="007F482E">
            <w:pPr>
              <w:jc w:val="right"/>
            </w:pPr>
            <w:r>
              <w:t>-387,9 </w:t>
            </w:r>
          </w:p>
        </w:tc>
      </w:tr>
      <w:tr w:rsidR="00944D2B" w:rsidTr="007F482E">
        <w:trPr>
          <w:trHeight w:val="315"/>
        </w:trPr>
        <w:tc>
          <w:tcPr>
            <w:tcW w:w="6260" w:type="dxa"/>
            <w:tcBorders>
              <w:top w:val="nil"/>
              <w:left w:val="single" w:sz="4" w:space="0" w:color="auto"/>
              <w:bottom w:val="single" w:sz="4" w:space="0" w:color="auto"/>
              <w:right w:val="single" w:sz="4" w:space="0" w:color="auto"/>
            </w:tcBorders>
            <w:shd w:val="clear" w:color="auto" w:fill="auto"/>
          </w:tcPr>
          <w:p w:rsidR="00944D2B" w:rsidRDefault="00944D2B" w:rsidP="007F482E">
            <w:proofErr w:type="spellStart"/>
            <w:r>
              <w:t>Середньорічна</w:t>
            </w:r>
            <w:proofErr w:type="spellEnd"/>
            <w:r>
              <w:t xml:space="preserve"> </w:t>
            </w:r>
            <w:proofErr w:type="spellStart"/>
            <w:r>
              <w:t>кількість</w:t>
            </w:r>
            <w:proofErr w:type="spellEnd"/>
            <w:r>
              <w:t xml:space="preserve"> </w:t>
            </w:r>
            <w:proofErr w:type="spellStart"/>
            <w:r>
              <w:t>акцій</w:t>
            </w:r>
            <w:proofErr w:type="spellEnd"/>
            <w:r>
              <w:t xml:space="preserve"> </w:t>
            </w:r>
            <w:r>
              <w:rPr>
                <w:i/>
                <w:iCs/>
              </w:rPr>
              <w:t>(шт.)</w:t>
            </w:r>
          </w:p>
        </w:tc>
        <w:tc>
          <w:tcPr>
            <w:tcW w:w="1760" w:type="dxa"/>
            <w:tcBorders>
              <w:top w:val="nil"/>
              <w:left w:val="nil"/>
              <w:bottom w:val="single" w:sz="4" w:space="0" w:color="auto"/>
              <w:right w:val="single" w:sz="4" w:space="0" w:color="auto"/>
            </w:tcBorders>
            <w:shd w:val="clear" w:color="auto" w:fill="auto"/>
          </w:tcPr>
          <w:p w:rsidR="00944D2B" w:rsidRDefault="00944D2B" w:rsidP="007F482E">
            <w:pPr>
              <w:jc w:val="right"/>
            </w:pPr>
            <w:r>
              <w:t>2162,8</w:t>
            </w:r>
          </w:p>
        </w:tc>
        <w:tc>
          <w:tcPr>
            <w:tcW w:w="1680" w:type="dxa"/>
            <w:tcBorders>
              <w:top w:val="nil"/>
              <w:left w:val="nil"/>
              <w:bottom w:val="single" w:sz="4" w:space="0" w:color="auto"/>
              <w:right w:val="single" w:sz="4" w:space="0" w:color="auto"/>
            </w:tcBorders>
            <w:shd w:val="clear" w:color="auto" w:fill="auto"/>
          </w:tcPr>
          <w:p w:rsidR="00944D2B" w:rsidRDefault="00944D2B" w:rsidP="007F482E">
            <w:pPr>
              <w:jc w:val="right"/>
            </w:pPr>
            <w:r>
              <w:t>2162,8 </w:t>
            </w:r>
          </w:p>
        </w:tc>
      </w:tr>
      <w:tr w:rsidR="00944D2B" w:rsidTr="007F482E">
        <w:trPr>
          <w:trHeight w:val="630"/>
        </w:trPr>
        <w:tc>
          <w:tcPr>
            <w:tcW w:w="6260" w:type="dxa"/>
            <w:tcBorders>
              <w:top w:val="nil"/>
              <w:left w:val="single" w:sz="4" w:space="0" w:color="auto"/>
              <w:bottom w:val="single" w:sz="4" w:space="0" w:color="auto"/>
              <w:right w:val="single" w:sz="4" w:space="0" w:color="auto"/>
            </w:tcBorders>
            <w:shd w:val="clear" w:color="auto" w:fill="auto"/>
          </w:tcPr>
          <w:p w:rsidR="00944D2B" w:rsidRDefault="00944D2B" w:rsidP="007F482E">
            <w:proofErr w:type="spellStart"/>
            <w:r>
              <w:t>Кількість</w:t>
            </w:r>
            <w:proofErr w:type="spellEnd"/>
            <w:r>
              <w:t xml:space="preserve"> </w:t>
            </w:r>
            <w:proofErr w:type="spellStart"/>
            <w:r>
              <w:t>власних</w:t>
            </w:r>
            <w:proofErr w:type="spellEnd"/>
            <w:r>
              <w:t xml:space="preserve"> </w:t>
            </w:r>
            <w:proofErr w:type="spellStart"/>
            <w:r>
              <w:t>акцій</w:t>
            </w:r>
            <w:proofErr w:type="spellEnd"/>
            <w:r>
              <w:t xml:space="preserve">, </w:t>
            </w:r>
            <w:proofErr w:type="spellStart"/>
            <w:r>
              <w:t>викуплених</w:t>
            </w:r>
            <w:proofErr w:type="spellEnd"/>
            <w:r>
              <w:t xml:space="preserve"> </w:t>
            </w:r>
            <w:proofErr w:type="spellStart"/>
            <w:r>
              <w:t>протягом</w:t>
            </w:r>
            <w:proofErr w:type="spellEnd"/>
            <w:r>
              <w:t xml:space="preserve"> </w:t>
            </w:r>
            <w:proofErr w:type="spellStart"/>
            <w:r>
              <w:t>періоду</w:t>
            </w:r>
            <w:proofErr w:type="spellEnd"/>
            <w:r>
              <w:t xml:space="preserve"> </w:t>
            </w:r>
            <w:r>
              <w:rPr>
                <w:i/>
                <w:iCs/>
              </w:rPr>
              <w:t>(шт.)</w:t>
            </w:r>
          </w:p>
        </w:tc>
        <w:tc>
          <w:tcPr>
            <w:tcW w:w="1760" w:type="dxa"/>
            <w:tcBorders>
              <w:top w:val="nil"/>
              <w:left w:val="nil"/>
              <w:bottom w:val="single" w:sz="4" w:space="0" w:color="auto"/>
              <w:right w:val="single" w:sz="4" w:space="0" w:color="auto"/>
            </w:tcBorders>
            <w:shd w:val="clear" w:color="auto" w:fill="auto"/>
          </w:tcPr>
          <w:p w:rsidR="00944D2B" w:rsidRDefault="00944D2B" w:rsidP="007F482E">
            <w:pPr>
              <w:jc w:val="right"/>
            </w:pPr>
            <w:r>
              <w:t> </w:t>
            </w:r>
          </w:p>
        </w:tc>
        <w:tc>
          <w:tcPr>
            <w:tcW w:w="1680" w:type="dxa"/>
            <w:tcBorders>
              <w:top w:val="nil"/>
              <w:left w:val="nil"/>
              <w:bottom w:val="single" w:sz="4" w:space="0" w:color="auto"/>
              <w:right w:val="single" w:sz="4" w:space="0" w:color="auto"/>
            </w:tcBorders>
            <w:shd w:val="clear" w:color="auto" w:fill="auto"/>
          </w:tcPr>
          <w:p w:rsidR="00944D2B" w:rsidRDefault="00944D2B" w:rsidP="007F482E">
            <w:pPr>
              <w:jc w:val="right"/>
            </w:pPr>
            <w:r>
              <w:t> </w:t>
            </w:r>
          </w:p>
        </w:tc>
      </w:tr>
    </w:tbl>
    <w:p w:rsidR="00944D2B" w:rsidRDefault="00944D2B" w:rsidP="00944D2B">
      <w:pPr>
        <w:ind w:firstLine="708"/>
        <w:rPr>
          <w:lang w:val="uk-UA"/>
        </w:rPr>
      </w:pPr>
    </w:p>
    <w:p w:rsidR="00944D2B" w:rsidRDefault="00944D2B" w:rsidP="00944D2B">
      <w:pPr>
        <w:rPr>
          <w:lang w:val="uk-UA"/>
        </w:rPr>
      </w:pPr>
    </w:p>
    <w:p w:rsidR="00944D2B" w:rsidRDefault="00944D2B" w:rsidP="00944D2B">
      <w:r>
        <w:rPr>
          <w:lang w:val="uk-UA"/>
        </w:rPr>
        <w:t xml:space="preserve">Рахунок просимо надіслати на адресу електронної пошти </w:t>
      </w:r>
      <w:r w:rsidRPr="009616FC">
        <w:t xml:space="preserve">  </w:t>
      </w:r>
      <w:r>
        <w:rPr>
          <w:lang w:val="uk-UA"/>
        </w:rPr>
        <w:t>:</w:t>
      </w:r>
      <w:r w:rsidRPr="009616FC">
        <w:t xml:space="preserve">  </w:t>
      </w:r>
      <w:proofErr w:type="spellStart"/>
      <w:r>
        <w:rPr>
          <w:lang w:val="en-US"/>
        </w:rPr>
        <w:t>chaaszvit</w:t>
      </w:r>
      <w:proofErr w:type="spellEnd"/>
      <w:r w:rsidRPr="009616FC">
        <w:t>@</w:t>
      </w:r>
      <w:proofErr w:type="spellStart"/>
      <w:r>
        <w:rPr>
          <w:lang w:val="en-US"/>
        </w:rPr>
        <w:t>ukr</w:t>
      </w:r>
      <w:proofErr w:type="spellEnd"/>
      <w:r w:rsidRPr="009616FC">
        <w:t>.</w:t>
      </w:r>
      <w:r>
        <w:rPr>
          <w:lang w:val="en-US"/>
        </w:rPr>
        <w:t>net</w:t>
      </w:r>
    </w:p>
    <w:p w:rsidR="00944D2B" w:rsidRPr="009616FC" w:rsidRDefault="00944D2B" w:rsidP="00944D2B"/>
    <w:p w:rsidR="00944D2B" w:rsidRPr="009616FC" w:rsidRDefault="00944D2B" w:rsidP="00944D2B"/>
    <w:p w:rsidR="00944D2B" w:rsidRDefault="00944D2B" w:rsidP="00944D2B"/>
    <w:p w:rsidR="00944D2B" w:rsidRPr="009616FC" w:rsidRDefault="00944D2B" w:rsidP="00944D2B">
      <w:pPr>
        <w:rPr>
          <w:lang w:val="uk-UA"/>
        </w:rPr>
      </w:pPr>
      <w:r>
        <w:rPr>
          <w:lang w:val="uk-UA"/>
        </w:rPr>
        <w:t xml:space="preserve">                Директор                                                                   О.І.Глиняний</w:t>
      </w:r>
      <w:r>
        <w:rPr>
          <w:lang w:val="en-US"/>
        </w:rPr>
        <w:t xml:space="preserve">                  </w:t>
      </w:r>
    </w:p>
    <w:p w:rsidR="00B91F0C" w:rsidRDefault="00B91F0C"/>
    <w:sectPr w:rsidR="00B91F0C" w:rsidSect="00227FFD">
      <w:pgSz w:w="11906" w:h="16838"/>
      <w:pgMar w:top="719" w:right="850" w:bottom="1134" w:left="16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162"/>
    <w:rsid w:val="00944D2B"/>
    <w:rsid w:val="00B91F0C"/>
    <w:rsid w:val="00D05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D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D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4070</Characters>
  <Application>Microsoft Office Word</Application>
  <DocSecurity>0</DocSecurity>
  <Lines>33</Lines>
  <Paragraphs>9</Paragraphs>
  <ScaleCrop>false</ScaleCrop>
  <Company>Стрелец</Company>
  <LinksUpToDate>false</LinksUpToDate>
  <CharactersWithSpaces>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2</cp:revision>
  <dcterms:created xsi:type="dcterms:W3CDTF">2017-03-13T12:37:00Z</dcterms:created>
  <dcterms:modified xsi:type="dcterms:W3CDTF">2017-03-13T12:38:00Z</dcterms:modified>
</cp:coreProperties>
</file>